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14A" w:rsidRDefault="0077514A" w:rsidP="0077514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</w:p>
    <w:p w:rsidR="00A03054" w:rsidRPr="0077514A" w:rsidRDefault="0077514A" w:rsidP="0077514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কুরআন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তিলাওয়াত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বা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অন্যান্য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ইবাদাতের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সাওয়াব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কি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মৃত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ব্যক্তির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নিকট</w:t>
      </w:r>
      <w:r w:rsidRPr="0077514A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পৌঁছে</w:t>
      </w:r>
      <w:r w:rsidRPr="0077514A">
        <w:rPr>
          <w:rFonts w:ascii="Kalpurush" w:hAnsi="Kalpurush" w:cs="Kalpurush"/>
          <w:color w:val="205B83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77514A" w:rsidP="0077514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7751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يصل</w:t>
      </w:r>
      <w:r w:rsidRPr="007751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ثواب</w:t>
      </w:r>
      <w:r w:rsidRPr="007751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قراءة</w:t>
      </w:r>
      <w:r w:rsidRPr="007751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القرآن</w:t>
      </w:r>
      <w:r w:rsidRPr="007751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وأنواع</w:t>
      </w:r>
      <w:r w:rsidRPr="007751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القربات</w:t>
      </w:r>
      <w:r w:rsidRPr="007751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إلى</w:t>
      </w:r>
      <w:r w:rsidRPr="007751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الميت؟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69530B" w:rsidRDefault="0069530B" w:rsidP="0069530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77514A" w:rsidP="0077514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77514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77514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ও</w:t>
      </w:r>
      <w:r w:rsidRPr="0077514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াতাও</w:t>
      </w:r>
      <w:r w:rsidRPr="007751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য়ার</w:t>
      </w:r>
      <w:r w:rsidRPr="0077514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77514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7751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পরিষদ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77514A" w:rsidP="0077514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77514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77514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77514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77514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77514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7514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77514A" w:rsidRPr="0077514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77514A" w:rsidRPr="0077514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77514A" w:rsidRPr="0077514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77514A" w:rsidRPr="0077514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77514A" w:rsidRPr="0077514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E19A9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DE19A9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77514A" w:rsidRPr="0077514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77514A" w:rsidRPr="0077514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7514A" w:rsidRPr="0077514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77514A" w:rsidRPr="0077514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7514A" w:rsidRPr="0077514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77514A" w:rsidRPr="0077514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7514A" w:rsidRPr="0077514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4610B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4455E007" wp14:editId="2D8032E7">
            <wp:simplePos x="0" y="0"/>
            <wp:positionH relativeFrom="margin">
              <wp:posOffset>1252855</wp:posOffset>
            </wp:positionH>
            <wp:positionV relativeFrom="paragraph">
              <wp:posOffset>221311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কুরআন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তিলাওয়াত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বা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অন্যান্য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ইবাদাতের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সাওয়াব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মৃত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ব্যক্তির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নিকট</w:t>
      </w:r>
      <w:r w:rsidR="0044610B" w:rsidRPr="0044610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4610B" w:rsidRPr="0044610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পৌঁছে</w:t>
      </w:r>
      <w:r w:rsidR="0044610B" w:rsidRPr="0044610B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7514A" w:rsidRPr="0044610B" w:rsidRDefault="0077514A" w:rsidP="0077514A">
      <w:pPr>
        <w:bidi w:val="0"/>
        <w:spacing w:after="120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প্রথম ফ</w:t>
      </w:r>
      <w:r w:rsidR="0044610B" w:rsidRP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া</w:t>
      </w:r>
      <w:r w:rsidR="0044610B"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ত</w:t>
      </w:r>
      <w:r w:rsidR="0044610B" w:rsidRP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ও</w:t>
      </w: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য়া</w:t>
      </w:r>
    </w:p>
    <w:p w:rsidR="0077514A" w:rsidRPr="0077514A" w:rsidRDefault="0077514A" w:rsidP="0077514A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প্রশ্ন:</w:t>
      </w:r>
      <w:r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ইখলাস পাঠ করে কেউ যদি</w:t>
      </w:r>
      <w:bookmarkStart w:id="0" w:name="_GoBack"/>
      <w:bookmarkEnd w:id="0"/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মৃত ব্যক্তিকে ঈসালে সাওয়াব করে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তাহলে মৃত ব্যক্তি কি উপকৃত হবে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 কবরের পাশ দিয়ে যাওয়ার </w:t>
      </w:r>
      <w:r>
        <w:rPr>
          <w:rFonts w:ascii="Kalpurush" w:hAnsi="Kalpurush" w:cs="Kalpurush"/>
          <w:sz w:val="24"/>
          <w:szCs w:val="24"/>
          <w:cs/>
          <w:lang w:bidi="bn-BD"/>
        </w:rPr>
        <w:t>সময়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করতেন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কবরবাসীর জন্য </w:t>
      </w:r>
      <w:r>
        <w:rPr>
          <w:rFonts w:ascii="Kalpurush" w:hAnsi="Kalpurush" w:cs="Kalpurush"/>
          <w:sz w:val="24"/>
          <w:szCs w:val="24"/>
          <w:cs/>
          <w:lang w:bidi="bn-BD"/>
        </w:rPr>
        <w:t>তিনি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তিলাওয়াত করতেন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না শুধু দো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করতেন</w:t>
      </w:r>
      <w:r w:rsidRPr="0077514A">
        <w:rPr>
          <w:rFonts w:ascii="Kalpurush" w:hAnsi="Kalpurush" w:cs="Kalpurush"/>
          <w:sz w:val="24"/>
          <w:szCs w:val="24"/>
          <w:lang w:bidi="bn-BD"/>
        </w:rPr>
        <w:t>?</w:t>
      </w:r>
    </w:p>
    <w:p w:rsidR="0077514A" w:rsidRPr="0044610B" w:rsidRDefault="0077514A" w:rsidP="0077514A">
      <w:pPr>
        <w:bidi w:val="0"/>
        <w:spacing w:after="120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উত্তর:</w:t>
      </w:r>
    </w:p>
    <w:p w:rsidR="0077514A" w:rsidRPr="0077514A" w:rsidRDefault="0077514A" w:rsidP="0077514A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প্রথমত: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কেউ যদি কুরআন তিলাওয়াত করে মৃত ব্যক্তিকে ঈসালে সাওয়াব করে, আলেমদের বিশুদ্ধ মতানুযায়ী এ সাওয়াব মৃত ব্যক্তির নিকট পৌঁছায় না</w:t>
      </w:r>
      <w:r w:rsidRPr="00DE19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এটা মৃত ব্যক্তির আমল নয়।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আলা 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77514A" w:rsidRPr="00DE19A9" w:rsidRDefault="0044610B" w:rsidP="0044610B">
      <w:pPr>
        <w:spacing w:after="120"/>
        <w:jc w:val="both"/>
        <w:rPr>
          <w:rFonts w:ascii="QCF_BSML" w:hAnsi="QCF_BSML"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لَّيۡسَ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لِلۡإِنسَٰنِ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سَعَىٰ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النجم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77514A" w:rsidRPr="0077514A" w:rsidRDefault="0077514A" w:rsidP="0077514A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আর এই যে</w:t>
      </w:r>
      <w:r w:rsidRPr="0077514A">
        <w:rPr>
          <w:rFonts w:ascii="Kalpurush" w:hAnsi="Kalpurush" w:cs="Kalpurush"/>
          <w:sz w:val="24"/>
          <w:szCs w:val="24"/>
          <w:lang w:bidi="bn-BD"/>
        </w:rPr>
        <w:t>,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মানুষ যা চেষ্টা করে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তাই সে পায়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DE19A9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আন-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নাজম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: ৩৯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77514A" w:rsidRPr="0077514A" w:rsidRDefault="0077514A" w:rsidP="0077514A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>এ তিলাওয়াত জীবিত ব্যক্তির চেষ্টা বা আমল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এর সাওয়াব সে নিজেই পাবে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অন্য কাউকে সে ঈসালে সাওয়াব করার অধিকার রাখে না। এ সংক্রান্ত 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সৌ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দি আরবের 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>
        <w:rPr>
          <w:rFonts w:ascii="Kalpurush" w:hAnsi="Kalpurush" w:cs="Kalpurush"/>
          <w:sz w:val="24"/>
          <w:szCs w:val="24"/>
          <w:cs/>
          <w:lang w:bidi="bn-BD"/>
        </w:rPr>
        <w:t>ইলম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গবেষণা ও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>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াও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য়ার স্থায়ী ওলামা পরিষদ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এর একটি বিস্তারিত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>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য়া রয়েছে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BD"/>
        </w:rPr>
        <w:t>নিচে তা উল্লেখ করা হলো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77514A" w:rsidRPr="0077514A" w:rsidRDefault="0077514A" w:rsidP="0077514A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প্রশ্ন:</w:t>
      </w:r>
      <w:r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কবর জিয়ারতের সময় সূরা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ফাতেহা পাঠ করা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অথবা কুরআনের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অংশ পাঠ করা কি বৈধ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BD"/>
        </w:rPr>
        <w:t>আর এর দ্বারা সে কি উপকৃত হবে</w:t>
      </w:r>
      <w:r>
        <w:rPr>
          <w:rFonts w:ascii="Kalpurush" w:hAnsi="Kalpurush" w:cs="Kalpurush"/>
          <w:sz w:val="24"/>
          <w:szCs w:val="24"/>
          <w:lang w:bidi="bn-BD"/>
        </w:rPr>
        <w:t>?</w:t>
      </w:r>
    </w:p>
    <w:p w:rsidR="0077514A" w:rsidRPr="0077514A" w:rsidRDefault="0077514A" w:rsidP="0077514A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উত্তর:</w:t>
      </w:r>
      <w:r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বিশুদ্ধ 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স থেকে প্রমাণিত রাসূলুল্লাহ সাল্লাল্লাহু আলাইহি ওয়াসাল্লাম কবর 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য়ারত করতেন এবং কিছু বাক্য দ্বারা তিনি কবরবাসীদের জন্য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করতেন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BD"/>
        </w:rPr>
        <w:t>যা তিনি 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ীগণকে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শিখিয়েছেন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তারাও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র থেকে শিখে নিয়েছে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DE19A9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BD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77514A" w:rsidRPr="0077514A" w:rsidRDefault="0077514A" w:rsidP="0077514A">
      <w:pPr>
        <w:spacing w:after="120"/>
        <w:jc w:val="both"/>
        <w:rPr>
          <w:rFonts w:ascii="Tahoma" w:hAnsi="Tahoma" w:cs="KFGQPC Uthman Taha Naskh"/>
          <w:color w:val="333399"/>
          <w:sz w:val="24"/>
          <w:szCs w:val="24"/>
          <w:rtl/>
        </w:rPr>
      </w:pPr>
      <w:r w:rsidRPr="0077514A">
        <w:rPr>
          <w:rFonts w:ascii="Tahoma" w:hAnsi="Tahoma" w:cs="KFGQPC Uthman Taha Naskh" w:hint="cs"/>
          <w:color w:val="333399"/>
          <w:sz w:val="24"/>
          <w:szCs w:val="24"/>
          <w:rtl/>
        </w:rPr>
        <w:t>‏«السلام عليكم اهل الديار</w:t>
      </w:r>
      <w:r w:rsidRPr="0077514A">
        <w:rPr>
          <w:rFonts w:ascii="Tahoma" w:hAnsi="Tahoma" w:cs="KFGQPC Uthman Taha Naskh" w:hint="cs"/>
          <w:color w:val="333399"/>
          <w:sz w:val="24"/>
          <w:szCs w:val="24"/>
        </w:rPr>
        <w:t xml:space="preserve"> </w:t>
      </w:r>
      <w:r w:rsidRPr="0077514A">
        <w:rPr>
          <w:rFonts w:ascii="Tahoma" w:hAnsi="Tahoma" w:cs="KFGQPC Uthman Taha Naskh" w:hint="cs"/>
          <w:color w:val="333399"/>
          <w:sz w:val="24"/>
          <w:szCs w:val="24"/>
          <w:rtl/>
        </w:rPr>
        <w:t>من المؤمنين والمسلمين، وانا ان شاء الله بكم لاحقون، نسال الله لنا ولكم</w:t>
      </w:r>
      <w:r w:rsidRPr="0077514A">
        <w:rPr>
          <w:rFonts w:ascii="Tahoma" w:hAnsi="Tahoma" w:cs="KFGQPC Uthman Taha Naskh" w:hint="cs"/>
          <w:color w:val="333399"/>
          <w:sz w:val="24"/>
          <w:szCs w:val="24"/>
        </w:rPr>
        <w:t xml:space="preserve"> </w:t>
      </w:r>
      <w:r w:rsidRPr="0077514A">
        <w:rPr>
          <w:rFonts w:ascii="Tahoma" w:hAnsi="Tahoma" w:cs="KFGQPC Uthman Taha Naskh" w:hint="cs"/>
          <w:color w:val="333399"/>
          <w:sz w:val="24"/>
          <w:szCs w:val="24"/>
          <w:rtl/>
        </w:rPr>
        <w:t>العافية‏»</w:t>
      </w:r>
    </w:p>
    <w:p w:rsidR="0044610B" w:rsidRDefault="0077514A" w:rsidP="0044610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হে কবরবাসী মুমিন ও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গণ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তোমাদের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পর সালাম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ইনশাআল্লাহ অতিসত্বর আমরা তোমাদের সাথে মিলিত হবো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আল্লাহর নিকট আমাদের জন্য ও তোমাদের জন্য নিরাপত্তা প্রার্থনা করছি।</w:t>
      </w:r>
      <w:r w:rsidRPr="0077514A">
        <w:rPr>
          <w:rFonts w:ascii="Kalpurush" w:hAnsi="Kalpurush" w:cs="Kalpurush"/>
          <w:sz w:val="24"/>
          <w:szCs w:val="24"/>
          <w:lang w:bidi="bn-BD"/>
        </w:rPr>
        <w:t>”</w:t>
      </w:r>
      <w:r w:rsidR="0044610B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1"/>
      </w:r>
    </w:p>
    <w:p w:rsidR="0077514A" w:rsidRPr="0077514A" w:rsidRDefault="0077514A" w:rsidP="003B636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 কবর যিয়ারত করার সময় কুরআন বা তার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আয়াত তিলাওয়াত করেছেন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এমন 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 xml:space="preserve">কিছু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প্রমাণিত ন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েই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অথচ তিনি খুব কবর যিয়ারত করতেন। যদি তা বৈধ হত বা মৃতরা তার দ্বারা উপকৃত হত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তাহলে অবশ্যই তিনি তা করতেন এবং </w:t>
      </w:r>
      <w:r>
        <w:rPr>
          <w:rFonts w:ascii="Kalpurush" w:hAnsi="Kalpurush" w:cs="Kalpurush"/>
          <w:sz w:val="24"/>
          <w:szCs w:val="24"/>
          <w:cs/>
          <w:lang w:bidi="bn-BD"/>
        </w:rPr>
        <w:t>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ীগণকে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নির্দেশ দিতেন। বরং নবুওয়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তের দায়িত্ব আদায়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উম্মতের প্রতি দয়া ও সাওয়াবের বিবেচনায় এটা তার কর্তব্য ছিল। কারণ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তার ব্যাপারে আল্লাহ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আলা 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77514A" w:rsidRPr="0077514A" w:rsidRDefault="0044610B" w:rsidP="0044610B">
      <w:pPr>
        <w:spacing w:after="120"/>
        <w:jc w:val="both"/>
        <w:rPr>
          <w:rFonts w:ascii="QCF_BSML" w:hAnsi="QCF_BSML" w:cs="KFGQPC Uthman Taha Nask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عَزِيزٌ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عَنِتُّمۡ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حَرِيصٌ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١٢٨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77514A" w:rsidRPr="0077514A" w:rsidRDefault="0077514A" w:rsidP="0077514A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নিশ্চয় তোমাদের নিজেদের মধ্য থেকে তোমাদের নিকট একজন রাসূল এসেছেন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 তার জন্য কষ্টদায়ক যা তোমাদেরকে পীড়া দেয়। তিনি তোমাদের কল্যাণকামী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মুমিনদের প্রতি স্নেহশীল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পরম দয়ালু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DE19A9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[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আত-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ওবা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হ, আয়াত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: ১২৮</w:t>
      </w:r>
      <w:r w:rsidRPr="0077514A">
        <w:rPr>
          <w:rFonts w:ascii="Kalpurush" w:hAnsi="Kalpurush" w:cs="Kalpurush"/>
          <w:sz w:val="24"/>
          <w:szCs w:val="24"/>
          <w:lang w:bidi="bn-BD"/>
        </w:rPr>
        <w:t>]</w:t>
      </w:r>
    </w:p>
    <w:p w:rsidR="0077514A" w:rsidRPr="0077514A" w:rsidRDefault="0077514A" w:rsidP="003B636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>অতএব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ওয়াসাল্লামের মধ্যে দয়া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উম্মতের কল্যাণ কামনা ও অনুগ্রহ থাকা সত্বেও যেহেতু তিনি তা করেন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তাই প্রমাণ করে যে এটা না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জায়ে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DE19A9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E19A9">
        <w:rPr>
          <w:rFonts w:ascii="Kalpurush" w:hAnsi="Kalpurush" w:cs="Kalpurush"/>
          <w:sz w:val="24"/>
          <w:szCs w:val="24"/>
          <w:cs/>
          <w:lang w:bidi="bn-IN"/>
        </w:rPr>
        <w:t xml:space="preserve">সাহাবায়ে কেরাম 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ই বুঝেছেন এবং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এর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পরই তারা আমল করেছে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SutonnyMJ" w:hAnsi="SutonnyMJ" w:cs="Kalpurush" w:hint="cs"/>
          <w:sz w:val="24"/>
          <w:szCs w:val="24"/>
          <w:cs/>
          <w:lang w:bidi="bn-BD"/>
        </w:rPr>
        <w:t>(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আল্লাহ তাদের সকলের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পর সন্তুষ্ট হোন</w:t>
      </w:r>
      <w:r>
        <w:rPr>
          <w:rFonts w:ascii="SutonnyMJ" w:hAnsi="SutonnyMJ" w:cs="Kalpurush" w:hint="cs"/>
          <w:sz w:val="24"/>
          <w:szCs w:val="24"/>
          <w:cs/>
          <w:lang w:bidi="bn-BD"/>
        </w:rPr>
        <w:t>)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তারা কবর যিয়ারতের সময় মৃতদের জন্য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করতেন ও নিজেরা 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(মৃত্যু থেকে) উপদেশ ও শিক্ষা নিতে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ন। তারা মৃতদের জন্য কুরআন তিলাওয়াত করেন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নি। তাই প্রমাণিত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যে, কবর যিয়ারতের সময় কুরআন তিলাওয়াত করা পরবর্তীতে আবিষ্কৃত বিদ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আত। রাসূলুল্লাহ সাল্লাল্লাহু আলাইহি ওয়াসাল্লাম 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77514A" w:rsidRPr="0077514A" w:rsidRDefault="0077514A" w:rsidP="0077514A">
      <w:pPr>
        <w:spacing w:after="120"/>
        <w:jc w:val="both"/>
        <w:rPr>
          <w:rFonts w:ascii="Tahoma" w:hAnsi="Tahoma" w:cs="KFGQPC Uthman Taha Naskh"/>
          <w:color w:val="333399"/>
          <w:sz w:val="24"/>
          <w:szCs w:val="24"/>
        </w:rPr>
      </w:pPr>
      <w:r w:rsidRPr="0077514A">
        <w:rPr>
          <w:rFonts w:ascii="Tahoma" w:hAnsi="Tahoma" w:cs="KFGQPC Uthman Taha Naskh" w:hint="cs"/>
          <w:color w:val="333399"/>
          <w:sz w:val="24"/>
          <w:szCs w:val="24"/>
          <w:rtl/>
        </w:rPr>
        <w:t>‏«من أحدث</w:t>
      </w:r>
      <w:r w:rsidRPr="0077514A">
        <w:rPr>
          <w:rFonts w:ascii="Tahoma" w:hAnsi="Tahoma" w:cs="KFGQPC Uthman Taha Naskh" w:hint="cs"/>
          <w:color w:val="333399"/>
          <w:sz w:val="24"/>
          <w:szCs w:val="24"/>
        </w:rPr>
        <w:t xml:space="preserve"> </w:t>
      </w:r>
      <w:r w:rsidRPr="0077514A">
        <w:rPr>
          <w:rFonts w:ascii="Tahoma" w:hAnsi="Tahoma" w:cs="KFGQPC Uthman Taha Naskh" w:hint="cs"/>
          <w:color w:val="333399"/>
          <w:sz w:val="24"/>
          <w:szCs w:val="24"/>
          <w:rtl/>
        </w:rPr>
        <w:t xml:space="preserve">في </w:t>
      </w:r>
      <w:r w:rsidRPr="0077514A">
        <w:rPr>
          <w:rFonts w:hint="cs"/>
          <w:color w:val="333399"/>
          <w:sz w:val="24"/>
          <w:szCs w:val="24"/>
          <w:rtl/>
        </w:rPr>
        <w:t>أ</w:t>
      </w:r>
      <w:r w:rsidRPr="0077514A">
        <w:rPr>
          <w:rFonts w:ascii="Tahoma" w:hAnsi="Tahoma" w:cs="KFGQPC Uthman Taha Naskh" w:hint="cs"/>
          <w:color w:val="333399"/>
          <w:sz w:val="24"/>
          <w:szCs w:val="24"/>
          <w:rtl/>
        </w:rPr>
        <w:t>مرنا هذا ما ليس منه فهو رد»‏‏</w:t>
      </w:r>
    </w:p>
    <w:p w:rsidR="0077514A" w:rsidRPr="0077514A" w:rsidRDefault="0077514A" w:rsidP="0044610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lang w:bidi="bn-BD"/>
        </w:rPr>
        <w:t>“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আমাদের এ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নে যে এমন কিছু আবিষ্কার করল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যা তার অন্তর্ভুক্ত নয়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 পরিত্যাক্ত।</w:t>
      </w:r>
      <w:r w:rsidRPr="0077514A">
        <w:rPr>
          <w:rFonts w:ascii="Kalpurush" w:hAnsi="Kalpurush" w:cs="Kalpurush"/>
          <w:sz w:val="24"/>
          <w:szCs w:val="24"/>
          <w:lang w:bidi="bn-BD"/>
        </w:rPr>
        <w:t>”</w:t>
      </w:r>
      <w:r w:rsidR="0044610B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2"/>
      </w:r>
    </w:p>
    <w:p w:rsidR="00AA769B" w:rsidRDefault="00AA769B" w:rsidP="0077514A">
      <w:pPr>
        <w:bidi w:val="0"/>
        <w:spacing w:after="120"/>
        <w:jc w:val="both"/>
        <w:rPr>
          <w:rFonts w:ascii="Kalpurush" w:hAnsi="Kalpurush" w:cs="Kalpurush"/>
          <w:color w:val="800000"/>
          <w:sz w:val="24"/>
          <w:szCs w:val="24"/>
          <w:lang w:bidi="bn-BD"/>
        </w:rPr>
      </w:pPr>
    </w:p>
    <w:p w:rsidR="0077514A" w:rsidRPr="0044610B" w:rsidRDefault="0077514A" w:rsidP="0044610B">
      <w:pPr>
        <w:bidi w:val="0"/>
        <w:spacing w:after="120"/>
        <w:jc w:val="center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দ্বিতীয় ফ</w:t>
      </w:r>
      <w:r w:rsid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া</w:t>
      </w:r>
      <w:r w:rsid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ত</w:t>
      </w:r>
      <w:r w:rsid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ও</w:t>
      </w: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য়া</w:t>
      </w:r>
      <w:r w:rsidR="00AA769B" w:rsidRP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 xml:space="preserve"> (প্রথম ফ</w:t>
      </w:r>
      <w:r w:rsidR="00AA769B" w:rsidRP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া</w:t>
      </w:r>
      <w:r w:rsidR="00AA769B"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ত</w:t>
      </w:r>
      <w:r w:rsidR="00AA769B" w:rsidRP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ও</w:t>
      </w: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য়ার অবশিষ্টাংশ)</w:t>
      </w:r>
    </w:p>
    <w:p w:rsidR="0077514A" w:rsidRPr="0077514A" w:rsidRDefault="0077514A" w:rsidP="00AA769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প্রশ্ন:</w:t>
      </w:r>
      <w:r w:rsidR="00AA769B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আমরা কতক মুসলিম দেশে দেখি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কুরআন তিলাওয়াতের জন্য লোক ভাড়া করা হয়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কুরআন তিলাওয়াত করে বিনিময় গ্রহণ করা কি বৈধ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বিনিময় দাতা 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>কি এ জন্য গোনাহগার হবে</w:t>
      </w:r>
      <w:r w:rsidRPr="0077514A">
        <w:rPr>
          <w:rFonts w:ascii="Kalpurush" w:hAnsi="Kalpurush" w:cs="Kalpurush"/>
          <w:sz w:val="24"/>
          <w:szCs w:val="24"/>
          <w:lang w:bidi="bn-BD"/>
        </w:rPr>
        <w:t>?</w:t>
      </w:r>
    </w:p>
    <w:p w:rsidR="0077514A" w:rsidRPr="0077514A" w:rsidRDefault="0077514A" w:rsidP="00AA769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উত্তর:</w:t>
      </w:r>
      <w:r w:rsidR="00AA769B"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কুরআন তিলাওয়াত একটি খালেস ইবাদাত। মুসলিমগণ আল্লাহর সন্তুষ্টি অর্জন ও সাওয়াবের আশায় তা সম্পাদন করবে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এসব ইবাদাতের মূল নীতিও তাই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এ জন্য কারো থেকে বিনিময় গ্রহণ বা কারো কৃতজ্ঞতা আদায় করা যাবে না। সালাফ তথা আমাদের আদর্শ মনীষীদের থেকে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প্রমাণিত নয় যে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তারা মৃত ব্যক্তি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অলিমা অথবা অন্য কোন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অনুষ্ঠানে কুরআন তিলাওয়াতের জন্য কাউকে ভাড়া করেছেন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অথবা তারা এর নির্দেশ দিয়েছেন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কিংবা এর অনুমতি প্রদান করেছেন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অথবা তারা কেউ কুরআন তিলাওয়াত করে বিনিময় গ্রহণ করেছেন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বরং তারা আল্লাহর নিকট সাওয়াবের আশায় তিলাওয়াত করতেন। রাসূলুল্লাহ সাল্লাল্লাহু আলাইহি ওয়াসাল্লাম নির্দেশ দিয়েছেন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যে ব্যক্তি কুরআন তিলাওয়াত করে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সে যেন আল্লাহর নিকট প্রার্থনা করে।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তিনি মানুষের নিকট প্রার্থনা থেকে সতর্ক করেছেন। 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>সাহাব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 xml:space="preserve"> ইমরান 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ন 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>হ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>স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াই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ন থেকে ইমাম 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>তিরমিয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তার সুনান গ্রন্থে বর্ণনা করে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77514A" w:rsidRPr="00AA769B" w:rsidRDefault="00AA769B" w:rsidP="00AA769B">
      <w:pPr>
        <w:spacing w:after="12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نه مر على قاص يقر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ثم س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ل؛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</w:rPr>
        <w:t xml:space="preserve"> 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فاسترجع ثم قال‏:‏ سمعت رسول الله صلى الله عليه وسلم يقول‏:‏ من قر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القر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آ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ن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</w:rPr>
        <w:t xml:space="preserve"> 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فليس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ل الله به، ف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إ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نه سيجيء 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قوام يقرؤون القر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آ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ن يس</w:t>
      </w:r>
      <w:r w:rsidR="0077514A"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>لون به الناس</w:t>
      </w:r>
      <w:r w:rsidRPr="00AA769B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="0077514A" w:rsidRPr="00AA76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</w:p>
    <w:p w:rsidR="0077514A" w:rsidRPr="0077514A" w:rsidRDefault="00AA769B" w:rsidP="003B636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ইমরান </w:t>
      </w:r>
      <w:r w:rsidR="0077514A" w:rsidRPr="0077514A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7514A" w:rsidRPr="0077514A">
        <w:rPr>
          <w:rFonts w:ascii="Kalpurush" w:hAnsi="Kalpurush" w:cs="Kalpurush" w:hint="cs"/>
          <w:sz w:val="24"/>
          <w:szCs w:val="24"/>
          <w:cs/>
          <w:lang w:bidi="bn-BD"/>
        </w:rPr>
        <w:t>হুস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়</w:t>
      </w:r>
      <w:r w:rsidR="0077514A" w:rsidRPr="0077514A">
        <w:rPr>
          <w:rFonts w:ascii="Kalpurush" w:hAnsi="Kalpurush" w:cs="Kalpurush" w:hint="cs"/>
          <w:sz w:val="24"/>
          <w:szCs w:val="24"/>
          <w:cs/>
          <w:lang w:bidi="bn-BD"/>
        </w:rPr>
        <w:t>াইন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এক গল্পকারের পাশ দিয়ে অতিক্রম করলেন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যে তিলাওয়াত করে করে মানুষের নিকট 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চেয়ে বেড়া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ত। তিনি এ দৃশ্য থেকে ইন্নালিল্লাহ পড়লেন। অতঃপর বললেন: আমি রাসূলুল্লাহ সাল্লাল্লাহু আলাইহি ওয়াসাল্লামকে বলতে শোনেছি: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77514A" w:rsidRPr="0077514A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যে ব্যক্তি কুরআন তিলাওয়াত করে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সে যেন 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সিলা দিয়ে আল্লাহর নিকট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lastRenderedPageBreak/>
        <w:t>প্রার্থনা করে</w:t>
      </w:r>
      <w:r w:rsidRPr="00DE19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অতিসত্বর এমন এক দল আ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বি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র্ভূত হবে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যারা কুরআন তিলাওয়াত করবে আর 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সিলা দিয়ে মানুষের নিকট প্রার্থনা 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7514A" w:rsidRPr="00DE19A9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44610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</w:p>
    <w:p w:rsidR="00AA769B" w:rsidRDefault="0077514A" w:rsidP="0044610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>তবে যেসব অবস্থায় তিলাওয়াতকারী ব্যতীত অপরের নিকটও কুরআনের উপকারিতা পৌঁছ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সেসব অবস্থায় বিনিময় গ্রহণ করা বৈধ</w:t>
      </w:r>
      <w:r w:rsidR="00AA769B" w:rsidRPr="00DE19A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যেমন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কুরআন শিক্ষা দে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য়া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অথবা কুরআনের মাধ্যমে ঝাড়-ফ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ুঁ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 করা ইত্যাদি। বিশুদ্ধ সনদে বর্ণিত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আবু সাইদ রাদি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য়া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ল্লাহু আনহু এক পাল বকরী গ্রহণ করেছিলেন সূরা 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ফাতিহা দ্বারা এক ব্যক্তিকে ঝাড়-ফূঁক করে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3B636B">
        <w:rPr>
          <w:rFonts w:ascii="Kalpurush" w:hAnsi="Kalpurush" w:cs="Kalpurush"/>
          <w:sz w:val="24"/>
          <w:szCs w:val="24"/>
          <w:cs/>
          <w:lang w:bidi="bn-BD"/>
        </w:rPr>
        <w:t>যাকে বিষাক্ত কীট দংশন করে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ছিল। সাহল রাদি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য়া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ল্লাহু 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আনহুর হাদীসে রয়েছে</w:t>
      </w:r>
      <w:r w:rsidRPr="0077514A">
        <w:rPr>
          <w:rFonts w:ascii="Kalpurush" w:hAnsi="Kalpurush" w:cs="Kalpurush"/>
          <w:sz w:val="24"/>
          <w:szCs w:val="24"/>
          <w:lang w:bidi="bn-BD"/>
        </w:rPr>
        <w:t>,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 এক মেয়েকে জনৈক ব্যক্তির নিকট এ শর্তে বিয়ে দেন যে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সে তার নিকট রক্ষিত কুরআন মেয়েকে শিক্ষা দেবে।</w:t>
      </w:r>
      <w:r w:rsidR="0044610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77514A" w:rsidRPr="0077514A" w:rsidRDefault="0077514A" w:rsidP="00AA769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>অতএব</w:t>
      </w:r>
      <w:r w:rsidRPr="0077514A">
        <w:rPr>
          <w:rFonts w:ascii="Kalpurush" w:hAnsi="Kalpurush" w:cs="Kalpurush"/>
          <w:sz w:val="24"/>
          <w:szCs w:val="24"/>
          <w:lang w:bidi="bn-BD"/>
        </w:rPr>
        <w:t>,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শুধু তিলাওয়াতের বিনিময় গ্রহণ করা অথবা তিলাওয়াতের জন্য কোন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দল ভাড়া করা আদর্শ মনীষী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দের রীতি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ও সুন্নতের খিলাফ।</w:t>
      </w:r>
    </w:p>
    <w:p w:rsidR="0077514A" w:rsidRPr="0077514A" w:rsidRDefault="00AA769B" w:rsidP="00AA769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দ্বিতীয়ত</w:t>
      </w:r>
      <w:r w:rsidR="0077514A"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: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উপদেশ গ্রহণ ও আখেরাত স্মরণ করার জন্য রাসূলুল্লাহ সাল্লাল্লাহু আলাইহি ওয়াসাল্লাম কবর যিয়ারত করতেন।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তিনি নিজ পরিবারের মুসলিমদের জন্য দো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ও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ইস্তেগফার করতেন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তাদের জন্য </w:t>
      </w:r>
      <w:r w:rsidR="0077514A" w:rsidRPr="0077514A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আফিয়াত তথা নিরাপত্তা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প্রার্থনা করতেন। তিনি 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ীগণকে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শিক্ষা দিতেন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BD"/>
        </w:rPr>
        <w:t>যেন তারা কবর যিয়ারতের সময় বলে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77514A" w:rsidRPr="00AA769B" w:rsidRDefault="0077514A" w:rsidP="00AA769B">
      <w:pPr>
        <w:spacing w:after="120"/>
        <w:jc w:val="both"/>
        <w:rPr>
          <w:rFonts w:ascii="Tahoma" w:hAnsi="Tahoma" w:cs="KFGQPC Uthman Taha Naskh"/>
          <w:color w:val="333399"/>
          <w:sz w:val="24"/>
          <w:szCs w:val="24"/>
          <w:rtl/>
        </w:rPr>
      </w:pPr>
      <w:r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‏</w:t>
      </w:r>
      <w:r w:rsidR="00AA769B"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«</w:t>
      </w:r>
      <w:r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السلام عليكم اهل</w:t>
      </w:r>
      <w:r w:rsidRPr="00AA769B">
        <w:rPr>
          <w:rFonts w:ascii="Tahoma" w:hAnsi="Tahoma" w:cs="KFGQPC Uthman Taha Naskh" w:hint="cs"/>
          <w:color w:val="333399"/>
          <w:sz w:val="24"/>
          <w:szCs w:val="24"/>
        </w:rPr>
        <w:t xml:space="preserve"> </w:t>
      </w:r>
      <w:r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الديار من المؤمنين والمسلمين، وانا ان شاء الله بكم لاحقون، نسال الله لنا ولكم</w:t>
      </w:r>
      <w:r w:rsidRPr="00AA769B">
        <w:rPr>
          <w:rFonts w:ascii="Tahoma" w:hAnsi="Tahoma" w:cs="KFGQPC Uthman Taha Naskh" w:hint="cs"/>
          <w:color w:val="333399"/>
          <w:sz w:val="24"/>
          <w:szCs w:val="24"/>
        </w:rPr>
        <w:t xml:space="preserve"> </w:t>
      </w:r>
      <w:r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العافية‏</w:t>
      </w:r>
      <w:r w:rsidR="00AA769B"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»</w:t>
      </w:r>
    </w:p>
    <w:p w:rsidR="00AA769B" w:rsidRDefault="0077514A" w:rsidP="0044610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হে কবরবাসী মুমিন ও মুসলিমগণ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 xml:space="preserve">তোমাদের 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পর সালাম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ইনশাআল্লাহ আমরা অতিসত্বর তোমাদের সাথে মিলিত হবো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আমরা আল্লাহর কাছে আমাদের জন্য ও তোমাদের জন্য নিরাপত্তার প্রার্থনা করছি।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4610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5"/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77514A" w:rsidRPr="0077514A" w:rsidRDefault="0077514A" w:rsidP="00AA769B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>আমাদের জানা মতে রাসূলুল্লাহ সাল্লাল্লাহু আলাইহি ওয়াসাল্লাম কুরআন তিলাওয়াত করে মৃত ব্যক্তিদের ঈসালে সাওয়াব করেন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নি। অথচ তিনি অধিক কবর যিয়ারত করতেন। তিনি ছিলেন মুমিনদের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A769B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পর দয়ালু ও মেহেরবান। 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ভা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লো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জানেন</w:t>
      </w:r>
      <w:r w:rsidRPr="00DE19A9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77514A" w:rsidRPr="00AA769B" w:rsidRDefault="00AA769B" w:rsidP="00AA769B">
      <w:pPr>
        <w:bidi w:val="0"/>
        <w:spacing w:after="120"/>
        <w:jc w:val="both"/>
        <w:rPr>
          <w:rFonts w:ascii="SutonnyMJ" w:hAnsi="SutonnyMJ" w:cs="KFGQPC Uthman Taha Nask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সূত্র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77514A" w:rsidRPr="0077514A">
        <w:rPr>
          <w:rFonts w:ascii="Tahoma" w:hAnsi="Tahoma" w:cs="KFGQPC Uthman Taha Naskh" w:hint="cs"/>
          <w:sz w:val="24"/>
          <w:szCs w:val="24"/>
          <w:rtl/>
        </w:rPr>
        <w:t>اللجنة الدائمة للبحوث العلمية والافتاء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77514A" w:rsidRPr="0044610B" w:rsidRDefault="0077514A" w:rsidP="0044610B">
      <w:pPr>
        <w:bidi w:val="0"/>
        <w:spacing w:after="120"/>
        <w:jc w:val="center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A769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lastRenderedPageBreak/>
        <w:t>তৃতীয় ফ</w:t>
      </w:r>
      <w:r w:rsid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া</w:t>
      </w:r>
      <w:r w:rsid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ত</w:t>
      </w:r>
      <w:r w:rsidR="0044610B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ও</w:t>
      </w:r>
      <w:r w:rsidRPr="00AA769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য়া</w:t>
      </w:r>
    </w:p>
    <w:p w:rsidR="0077514A" w:rsidRPr="00AA769B" w:rsidRDefault="00AA769B" w:rsidP="00AA769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প্রশ্ন</w:t>
      </w:r>
      <w:r w:rsidR="0077514A"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কুরআন তিলাওয়াত ও অন্যান্য ইবাদাতের সাওয়াব কি মৃতদের নিকট পৌঁছ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মৃত ব্যক্তির সন্তান বা যার পক্ষ থেকেই হোক</w:t>
      </w:r>
      <w:r>
        <w:rPr>
          <w:rFonts w:ascii="Kalpurush" w:hAnsi="Kalpurush" w:cs="Kalpurush"/>
          <w:sz w:val="24"/>
          <w:szCs w:val="24"/>
          <w:lang w:bidi="bn-BD"/>
        </w:rPr>
        <w:t>?</w:t>
      </w:r>
    </w:p>
    <w:p w:rsidR="0077514A" w:rsidRPr="0077514A" w:rsidRDefault="00AA769B" w:rsidP="00AA769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উত্তর</w:t>
      </w:r>
      <w:r w:rsidR="0077514A" w:rsidRPr="0044610B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color w:val="800000"/>
          <w:sz w:val="24"/>
          <w:szCs w:val="24"/>
          <w:cs/>
          <w:lang w:bidi="bn-BD"/>
        </w:rPr>
        <w:t xml:space="preserve">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আমরা যতদূর জানি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 কুরআন তিলাওয়াত করে নিকট আত্মীয় বা অন্য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মৃত ব্যক্তির জন্য ঈসালে সাওয়াব করেন</w:t>
      </w:r>
      <w:r w:rsidR="0077514A" w:rsidRPr="0077514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নি। তিলাওয়াতের সাওয়াব যদি মৃত ব্যক্তির নিকট পৌঁছত বা এর দ্বারা সে কোন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ভাবে উপকৃত হত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তাহলে অবশ্যই তিনি তা করতেন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উম্মতকে বাতলে দিতেন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যেন তাদের মৃতরা উপকৃত হয়। তিনি ছিলেন মুমিনদের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পর দয়ালু ও অনুগ্রহশীল।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র পরবর্তীতে খুলাফায়ে রাশে</w:t>
      </w:r>
      <w:r>
        <w:rPr>
          <w:rFonts w:ascii="Kalpurush" w:hAnsi="Kalpurush" w:cs="Kalpurush"/>
          <w:sz w:val="24"/>
          <w:szCs w:val="24"/>
          <w:cs/>
          <w:lang w:bidi="bn-BD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ন ও সকল সাহাবায়ে কেরাম তার যথাযথ অনুসরণ করেছেন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SutonnyMJ" w:hAnsi="SutonnyMJ" w:cs="Kalpurush" w:hint="cs"/>
          <w:sz w:val="24"/>
          <w:szCs w:val="24"/>
          <w:cs/>
          <w:lang w:bidi="bn-BD"/>
        </w:rPr>
        <w:t>(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আল্লাহ তাদের সকলের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পর সন্তুষ্ট হোন</w:t>
      </w:r>
      <w:r>
        <w:rPr>
          <w:rFonts w:ascii="SutonnyMJ" w:hAnsi="SutonnyMJ" w:cs="Kalpurush" w:hint="cs"/>
          <w:sz w:val="24"/>
          <w:szCs w:val="24"/>
          <w:cs/>
          <w:lang w:bidi="bn-BD"/>
        </w:rPr>
        <w:t>)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আমাদের জানা মতে তারা কেউ কুরআন তিলাওয়াত করে ঈসালে সাওয়াব করেন</w:t>
      </w:r>
      <w:r w:rsidR="0077514A" w:rsidRPr="0077514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নি। সুতরাং রাসূলুল্লাহ সাল্লাল্লাহু আলাইহি ওয়াসাল্লাম ও 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>
        <w:rPr>
          <w:rFonts w:ascii="Kalpurush" w:hAnsi="Kalpurush" w:cs="Kalpurush"/>
          <w:sz w:val="24"/>
          <w:szCs w:val="24"/>
          <w:cs/>
          <w:lang w:bidi="bn-BD"/>
        </w:rPr>
        <w:t>র 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দের আদর্শ অনুসরণ করাই আমাদের জন্য কল্যাণ। কারণ</w:t>
      </w:r>
      <w:r w:rsidR="0077514A"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</w:t>
      </w:r>
      <w:r>
        <w:rPr>
          <w:rFonts w:ascii="Kalpurush" w:hAnsi="Kalpurush" w:cs="Kalpurush"/>
          <w:sz w:val="24"/>
          <w:szCs w:val="24"/>
          <w:cs/>
          <w:lang w:bidi="bn-BD"/>
        </w:rPr>
        <w:t>ল্লাহু আলাইহি ওয়াসাল্লাম বলেছেন</w:t>
      </w:r>
      <w:r w:rsidR="0077514A" w:rsidRPr="0077514A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77514A" w:rsidRPr="00DE19A9" w:rsidRDefault="0077514A" w:rsidP="00AA769B">
      <w:pPr>
        <w:spacing w:after="120"/>
        <w:jc w:val="both"/>
        <w:rPr>
          <w:rFonts w:ascii="Tahoma" w:hAnsi="Tahoma" w:cs="Kalpurush"/>
          <w:color w:val="333399"/>
          <w:sz w:val="24"/>
          <w:szCs w:val="24"/>
          <w:cs/>
          <w:lang w:bidi="bn-BD"/>
        </w:rPr>
      </w:pPr>
      <w:r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‏</w:t>
      </w:r>
      <w:r w:rsidR="00AA769B"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«</w:t>
      </w:r>
      <w:r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اياكم ومحدثات الامور فان كل محدثة بدعة، وكل بدعة ضلالة‏</w:t>
      </w:r>
      <w:r w:rsidR="00AA769B" w:rsidRPr="00AA769B">
        <w:rPr>
          <w:rFonts w:ascii="Tahoma" w:hAnsi="Tahoma" w:cs="KFGQPC Uthman Taha Naskh" w:hint="cs"/>
          <w:color w:val="333399"/>
          <w:sz w:val="24"/>
          <w:szCs w:val="24"/>
          <w:rtl/>
        </w:rPr>
        <w:t>»</w:t>
      </w:r>
    </w:p>
    <w:p w:rsidR="00AA769B" w:rsidRDefault="0077514A" w:rsidP="0044610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lang w:bidi="bn-BD"/>
        </w:rPr>
        <w:t>“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খবরদার! তোমরা নতুন আবিষ্কৃত বস্তু থেকে সতর্ক থেকো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কারণ প্রত্যেক নতুন আবি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ষ্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কৃত বস্তু বিদ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আর প্রত্যেক বিদ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আত গোমরাহী ও পথভ্রষ্টতা।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4610B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6"/>
      </w:r>
    </w:p>
    <w:p w:rsidR="0077514A" w:rsidRPr="0077514A" w:rsidRDefault="0077514A" w:rsidP="00AA769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তিনি অন্যত্র </w:t>
      </w:r>
      <w:r w:rsidR="00AA769B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77514A" w:rsidRPr="0044610B" w:rsidRDefault="0077514A" w:rsidP="0044610B">
      <w:pPr>
        <w:spacing w:after="120"/>
        <w:jc w:val="both"/>
        <w:rPr>
          <w:rFonts w:ascii="Kalpurush" w:hAnsi="Kalpurush" w:cs="KFGQPC Uthman Taha Naskh"/>
          <w:color w:val="333399"/>
          <w:sz w:val="24"/>
          <w:szCs w:val="24"/>
          <w:rtl/>
        </w:rPr>
      </w:pPr>
      <w:r w:rsidRPr="0044610B">
        <w:rPr>
          <w:rFonts w:ascii="Kalpurush" w:hAnsi="Kalpurush" w:cs="KFGQPC Uthman Taha Naskh"/>
          <w:color w:val="333399"/>
          <w:sz w:val="24"/>
          <w:szCs w:val="24"/>
          <w:rtl/>
        </w:rPr>
        <w:t>‏</w:t>
      </w:r>
      <w:r w:rsidR="0044610B" w:rsidRPr="0044610B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44610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من </w:t>
      </w:r>
      <w:r w:rsidRPr="0044610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Pr="0044610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حدث في </w:t>
      </w:r>
      <w:r w:rsidRPr="0044610B">
        <w:rPr>
          <w:rFonts w:ascii="Kalpurush" w:hAnsi="Kalpurush" w:cs="KFGQPC Uthman Taha Naskh" w:hint="cs"/>
          <w:color w:val="333399"/>
          <w:sz w:val="24"/>
          <w:szCs w:val="24"/>
          <w:rtl/>
        </w:rPr>
        <w:t>أ</w:t>
      </w:r>
      <w:r w:rsidRPr="0044610B">
        <w:rPr>
          <w:rFonts w:ascii="Kalpurush" w:hAnsi="Kalpurush" w:cs="KFGQPC Uthman Taha Naskh"/>
          <w:color w:val="333399"/>
          <w:sz w:val="24"/>
          <w:szCs w:val="24"/>
          <w:rtl/>
        </w:rPr>
        <w:t>مرنا هذا ما</w:t>
      </w:r>
      <w:r w:rsidRPr="0044610B">
        <w:rPr>
          <w:rFonts w:ascii="Kalpurush" w:hAnsi="Kalpurush" w:cs="KFGQPC Uthman Taha Naskh" w:hint="cs"/>
          <w:color w:val="333399"/>
          <w:sz w:val="24"/>
          <w:szCs w:val="24"/>
          <w:rtl/>
        </w:rPr>
        <w:t xml:space="preserve"> </w:t>
      </w:r>
      <w:r w:rsidRPr="0044610B">
        <w:rPr>
          <w:rFonts w:ascii="Kalpurush" w:hAnsi="Kalpurush" w:cs="KFGQPC Uthman Taha Naskh"/>
          <w:color w:val="333399"/>
          <w:sz w:val="24"/>
          <w:szCs w:val="24"/>
          <w:rtl/>
        </w:rPr>
        <w:t>ليس منه فهو رد‏</w:t>
      </w:r>
      <w:r w:rsidR="0044610B" w:rsidRPr="0044610B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77514A" w:rsidRPr="0077514A" w:rsidRDefault="0077514A" w:rsidP="0044610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lang w:bidi="bn-BD"/>
        </w:rPr>
        <w:t>“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যে আমাদের এ </w:t>
      </w:r>
      <w:r w:rsidR="0044610B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নে এমন কিছু আবিষ্কার করল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যা এর অন্তর্ভুক্ত নয়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 পরিত্যক্ত।</w:t>
      </w:r>
      <w:r w:rsidRPr="0077514A">
        <w:rPr>
          <w:rFonts w:ascii="Kalpurush" w:hAnsi="Kalpurush" w:cs="Kalpurush"/>
          <w:sz w:val="24"/>
          <w:szCs w:val="24"/>
          <w:lang w:bidi="bn-BD"/>
        </w:rPr>
        <w:t>”</w:t>
      </w:r>
      <w:r w:rsidR="0044610B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7"/>
      </w:r>
    </w:p>
    <w:p w:rsidR="0077514A" w:rsidRPr="0077514A" w:rsidRDefault="0077514A" w:rsidP="0044610B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তাই আমরা বলি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মৃতদের জন্য কুরআন তিলাওয়াত করা বা করানো জায়ে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নয়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এর সাওয়াব তাদের নিকট পৌঁছে না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বরং এটা বিদ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আত। এ ছাড়া যেসব ইবাদাতের সাওয়াব মৃতদের নিকট পৌঁছে মর্মে </w:t>
      </w:r>
      <w:r w:rsidR="0044610B">
        <w:rPr>
          <w:rFonts w:ascii="Kalpurush" w:hAnsi="Kalpurush" w:cs="Kalpurush"/>
          <w:sz w:val="24"/>
          <w:szCs w:val="24"/>
          <w:cs/>
          <w:lang w:bidi="bn-BD"/>
        </w:rPr>
        <w:t>বিশুদ্ধ দল</w:t>
      </w:r>
      <w:r w:rsidR="0044610B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ল রয়েছে তা অবশ্য গ্রহণীয়। যেমন</w:t>
      </w:r>
      <w:r w:rsidR="0044610B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মৃত ব্যক্তির পক্ষ থেকে সদকা ও হজ করা মর্মে বিশুদ্ধ </w:t>
      </w:r>
      <w:r w:rsidR="0044610B">
        <w:rPr>
          <w:rFonts w:ascii="Kalpurush" w:hAnsi="Kalpurush" w:cs="Kalpurush"/>
          <w:sz w:val="24"/>
          <w:szCs w:val="24"/>
          <w:cs/>
          <w:lang w:bidi="bn-BD"/>
        </w:rPr>
        <w:t>দল</w:t>
      </w:r>
      <w:r w:rsidR="0044610B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ল রয়েছে। আর যে সব বিষয়ে </w:t>
      </w:r>
      <w:r w:rsidR="0044610B">
        <w:rPr>
          <w:rFonts w:ascii="Kalpurush" w:hAnsi="Kalpurush" w:cs="Kalpurush"/>
          <w:sz w:val="24"/>
          <w:szCs w:val="24"/>
          <w:cs/>
          <w:lang w:bidi="bn-BD"/>
        </w:rPr>
        <w:t>কোন</w:t>
      </w:r>
      <w:r w:rsidR="003B636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4610B">
        <w:rPr>
          <w:rFonts w:ascii="Kalpurush" w:hAnsi="Kalpurush" w:cs="Kalpurush"/>
          <w:sz w:val="24"/>
          <w:szCs w:val="24"/>
          <w:cs/>
          <w:lang w:bidi="bn-BD"/>
        </w:rPr>
        <w:t xml:space="preserve"> দল</w:t>
      </w:r>
      <w:r w:rsidR="0044610B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ল নেই তা বৈধ নয়। তাই প্রমাণিত হল</w:t>
      </w:r>
      <w:r w:rsidR="0044610B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কুরআন তিলাওয়াত করে মৃতদের ঈসালে সাওয়াব করা বৈধ নয়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তাদের নিকট এর সাওয়াব পৌঁছায় না</w:t>
      </w:r>
      <w:r w:rsidRPr="0077514A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বরং এটা বিদ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আত। এটাই আলেমদের বিশুদ্ধ অভিমত। 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ভা</w:t>
      </w:r>
      <w:r w:rsidRPr="0077514A">
        <w:rPr>
          <w:rFonts w:ascii="Kalpurush" w:hAnsi="Kalpurush" w:cs="Kalpurush" w:hint="cs"/>
          <w:sz w:val="24"/>
          <w:szCs w:val="24"/>
          <w:cs/>
          <w:lang w:bidi="bn-BD"/>
        </w:rPr>
        <w:t>লো</w:t>
      </w:r>
      <w:r w:rsidRPr="0077514A">
        <w:rPr>
          <w:rFonts w:ascii="Kalpurush" w:hAnsi="Kalpurush" w:cs="Kalpurush"/>
          <w:sz w:val="24"/>
          <w:szCs w:val="24"/>
          <w:cs/>
          <w:lang w:bidi="bn-BD"/>
        </w:rPr>
        <w:t xml:space="preserve"> জানেন।</w:t>
      </w:r>
    </w:p>
    <w:p w:rsidR="0077514A" w:rsidRPr="0044610B" w:rsidRDefault="0077514A" w:rsidP="0044610B">
      <w:pPr>
        <w:bidi w:val="0"/>
        <w:spacing w:after="120"/>
        <w:jc w:val="both"/>
        <w:rPr>
          <w:rFonts w:ascii="SutonnyMJ" w:hAnsi="SutonnyMJ" w:cs="KFGQPC Uthman Taha Naskh"/>
          <w:sz w:val="24"/>
          <w:szCs w:val="24"/>
          <w:lang w:bidi="bn-BD"/>
        </w:rPr>
      </w:pPr>
      <w:r w:rsidRPr="0077514A">
        <w:rPr>
          <w:rFonts w:ascii="Kalpurush" w:hAnsi="Kalpurush" w:cs="Kalpurush"/>
          <w:sz w:val="24"/>
          <w:szCs w:val="24"/>
          <w:cs/>
          <w:lang w:bidi="bn-BD"/>
        </w:rPr>
        <w:t>সূত্র :</w:t>
      </w:r>
      <w:r w:rsidR="0044610B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77514A">
        <w:rPr>
          <w:rFonts w:ascii="Tahoma" w:hAnsi="Tahoma" w:cs="KFGQPC Uthman Taha Naskh" w:hint="cs"/>
          <w:sz w:val="24"/>
          <w:szCs w:val="24"/>
          <w:rtl/>
        </w:rPr>
        <w:t>اللجنة الدائمة للبحوث العلمية والافتاء</w:t>
      </w:r>
    </w:p>
    <w:p w:rsidR="0077514A" w:rsidRPr="0077514A" w:rsidRDefault="0077514A" w:rsidP="0044610B">
      <w:pPr>
        <w:bidi w:val="0"/>
        <w:spacing w:after="120"/>
        <w:jc w:val="center"/>
        <w:rPr>
          <w:rFonts w:ascii="Kalpurush" w:hAnsi="Kalpurush" w:cs="Kalpurush"/>
          <w:color w:val="800000"/>
          <w:sz w:val="24"/>
          <w:szCs w:val="24"/>
          <w:cs/>
          <w:lang w:bidi="bn-BD"/>
        </w:rPr>
      </w:pPr>
      <w:r w:rsidRPr="0077514A">
        <w:rPr>
          <w:rFonts w:ascii="Kalpurush" w:hAnsi="Kalpurush" w:cs="Kalpurush"/>
          <w:color w:val="800000"/>
          <w:sz w:val="24"/>
          <w:szCs w:val="24"/>
          <w:cs/>
          <w:lang w:bidi="bn-BD"/>
        </w:rPr>
        <w:t>সমাপ্ত</w:t>
      </w:r>
    </w:p>
    <w:p w:rsidR="00E942BB" w:rsidRPr="0077514A" w:rsidRDefault="00E942BB" w:rsidP="0077514A">
      <w:pPr>
        <w:bidi w:val="0"/>
        <w:spacing w:after="120"/>
        <w:ind w:firstLine="340"/>
        <w:jc w:val="both"/>
        <w:rPr>
          <w:rFonts w:asciiTheme="majorBidi" w:hAnsiTheme="majorBidi" w:cs="KFGQPC Uthman Taha Naskh"/>
          <w:sz w:val="24"/>
          <w:szCs w:val="24"/>
          <w:rtl/>
          <w:lang w:bidi="ar-EG"/>
        </w:rPr>
      </w:pPr>
    </w:p>
    <w:p w:rsidR="00C90E54" w:rsidRPr="0077514A" w:rsidRDefault="00C90E54" w:rsidP="0077514A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77514A" w:rsidRDefault="002C2993" w:rsidP="0077514A">
      <w:pPr>
        <w:bidi w:val="0"/>
        <w:spacing w:after="120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C90E54" w:rsidRPr="0077514A" w:rsidRDefault="00C90E54" w:rsidP="0077514A">
      <w:pPr>
        <w:bidi w:val="0"/>
        <w:spacing w:after="120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C90E54" w:rsidRPr="0077514A" w:rsidRDefault="00C90E54" w:rsidP="0077514A">
      <w:pPr>
        <w:bidi w:val="0"/>
        <w:spacing w:after="120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F2420A" w:rsidRPr="0077514A" w:rsidRDefault="00DC6A8E" w:rsidP="0077514A">
      <w:pPr>
        <w:tabs>
          <w:tab w:val="center" w:pos="4535"/>
        </w:tabs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77514A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77514A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F2420A" w:rsidRPr="0077514A" w:rsidRDefault="00F2420A" w:rsidP="0077514A">
      <w:pPr>
        <w:bidi w:val="0"/>
        <w:spacing w:after="120"/>
        <w:ind w:firstLine="7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66DC" w:rsidRPr="0077514A" w:rsidRDefault="005666DC" w:rsidP="0077514A">
      <w:pPr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sectPr w:rsidR="005666DC" w:rsidRPr="0077514A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FEB" w:rsidRDefault="007D5FEB" w:rsidP="00E32771">
      <w:pPr>
        <w:spacing w:after="0" w:line="240" w:lineRule="auto"/>
      </w:pPr>
      <w:r>
        <w:separator/>
      </w:r>
    </w:p>
  </w:endnote>
  <w:endnote w:type="continuationSeparator" w:id="0">
    <w:p w:rsidR="007D5FEB" w:rsidRDefault="007D5FE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798B27A-DC60-43BB-9A20-4E9ED6A6A465}"/>
    <w:embedBold r:id="rId2" w:fontKey="{0BBD2C5B-B06A-4A81-B7B8-824103CF4504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17AE2335-ABE5-470F-B1FE-5D2FEA9F078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D9D2139F-4624-4D03-B06F-BB30CB8F1493}"/>
    <w:embedBold r:id="rId5" w:fontKey="{3CB5310E-FA42-4A17-914F-19B326C3A81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5C6B9D90-EEF0-41E8-9423-EB062367D5A0}"/>
    <w:embedBold r:id="rId7" w:fontKey="{A4D00E15-7421-495F-ABF5-E8A2A70993E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E782F4C-DC69-4722-BB77-ACB4E77F92FE}"/>
    <w:embedBold r:id="rId9" w:fontKey="{A120E767-3AFA-4315-ACCA-389FCD3BA391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0" w:fontKey="{C46809A3-D1E1-4D1A-9CCE-D62EDC6AE8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89D2CD92-7EA1-4ED3-9110-35F30808DA3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F9370A75-3FDE-4DCB-8024-6713AEA7808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D3E3DEF9-F928-447E-8881-E8C4B5AB6838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A902DDAA-45C1-47B9-BB35-75D1939D8C7B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5" w:fontKey="{EF6F068E-382C-4F30-B9F5-52358BF6E82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D2A95AD7-7A20-4051-92CD-4BE8E8B803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7" w:fontKey="{27740031-FBFA-4CD5-B14C-5841B131BBC7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18" w:fontKey="{60DA291C-9126-438A-8261-C9A2D85403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5BFB7021-762F-4924-AF67-34302D6113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63C9A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FEB" w:rsidRDefault="007D5FEB" w:rsidP="0044610B">
      <w:pPr>
        <w:spacing w:after="0" w:line="240" w:lineRule="auto"/>
        <w:jc w:val="right"/>
      </w:pPr>
      <w:r>
        <w:separator/>
      </w:r>
    </w:p>
  </w:footnote>
  <w:footnote w:type="continuationSeparator" w:id="0">
    <w:p w:rsidR="007D5FEB" w:rsidRDefault="007D5FEB" w:rsidP="00E32771">
      <w:pPr>
        <w:spacing w:after="0" w:line="240" w:lineRule="auto"/>
      </w:pPr>
      <w:r>
        <w:continuationSeparator/>
      </w:r>
    </w:p>
  </w:footnote>
  <w:footnote w:id="1">
    <w:p w:rsidR="0044610B" w:rsidRPr="0044610B" w:rsidRDefault="0044610B" w:rsidP="0044610B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4610B">
        <w:rPr>
          <w:rStyle w:val="FootnoteReference"/>
          <w:rFonts w:ascii="Kalpurush" w:hAnsi="Kalpurush" w:cs="Kalpurush"/>
        </w:rPr>
        <w:footnoteRef/>
      </w:r>
      <w:r w:rsidRPr="0044610B">
        <w:rPr>
          <w:rFonts w:ascii="Kalpurush" w:hAnsi="Kalpurush" w:cs="Kalpurush"/>
          <w:rtl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ইবন মাজাহ, হাদীস নং ১৫৩৬</w:t>
      </w:r>
    </w:p>
  </w:footnote>
  <w:footnote w:id="2">
    <w:p w:rsidR="0044610B" w:rsidRPr="0044610B" w:rsidRDefault="0044610B" w:rsidP="0044610B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4610B">
        <w:rPr>
          <w:rStyle w:val="FootnoteReference"/>
          <w:rFonts w:ascii="Kalpurush" w:hAnsi="Kalpurush" w:cs="Kalpurush"/>
        </w:rPr>
        <w:footnoteRef/>
      </w:r>
      <w:r w:rsidRPr="0044610B">
        <w:rPr>
          <w:rFonts w:ascii="Kalpurush" w:hAnsi="Kalpurush" w:cs="Kalpurush"/>
          <w:rtl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সহীহ বুখারী, হাদীস নং ২৫১২;</w:t>
      </w:r>
      <w:r w:rsidRPr="0044610B">
        <w:rPr>
          <w:rFonts w:ascii="Kalpurush" w:hAnsi="Kalpurush" w:cs="Kalpurush"/>
          <w:lang w:bidi="bn-BD"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সহীহ মুসলিম, হাদীস নং ৩২৪৮</w:t>
      </w:r>
    </w:p>
  </w:footnote>
  <w:footnote w:id="3">
    <w:p w:rsidR="0044610B" w:rsidRPr="0044610B" w:rsidRDefault="0044610B" w:rsidP="0044610B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4610B">
        <w:rPr>
          <w:rStyle w:val="FootnoteReference"/>
          <w:rFonts w:ascii="Kalpurush" w:hAnsi="Kalpurush" w:cs="Kalpurush"/>
        </w:rPr>
        <w:footnoteRef/>
      </w:r>
      <w:r w:rsidRPr="0044610B">
        <w:rPr>
          <w:rFonts w:ascii="Kalpurush" w:hAnsi="Kalpurush" w:cs="Kalpurush"/>
          <w:rtl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আহমদ: ৪/৪৩২</w:t>
      </w:r>
      <w:r w:rsidRPr="0044610B">
        <w:rPr>
          <w:rFonts w:ascii="Calibri" w:hAnsi="Calibri" w:cs="Calibri"/>
          <w:lang w:bidi="bn-BD"/>
        </w:rPr>
        <w:t>Ñ</w:t>
      </w:r>
      <w:r w:rsidRPr="0044610B">
        <w:rPr>
          <w:rFonts w:ascii="Kalpurush" w:hAnsi="Kalpurush" w:cs="Kalpurush"/>
          <w:cs/>
          <w:lang w:bidi="bn-BD"/>
        </w:rPr>
        <w:t>৪৩৩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৪৩৬</w:t>
      </w:r>
      <w:r w:rsidRPr="0044610B">
        <w:rPr>
          <w:rFonts w:ascii="Calibri" w:hAnsi="Calibri" w:cs="Calibri"/>
          <w:lang w:bidi="bn-BD"/>
        </w:rPr>
        <w:t>Ñ</w:t>
      </w:r>
      <w:r w:rsidRPr="0044610B">
        <w:rPr>
          <w:rFonts w:ascii="Kalpurush" w:hAnsi="Kalpurush" w:cs="Kalpurush"/>
          <w:cs/>
          <w:lang w:bidi="bn-BD"/>
        </w:rPr>
        <w:t>৪৩৭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৪৩৯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৪৪৫;</w:t>
      </w:r>
      <w:r w:rsidRPr="0044610B">
        <w:rPr>
          <w:rFonts w:ascii="Kalpurush" w:hAnsi="Kalpurush" w:cs="Kalpurush"/>
          <w:lang w:bidi="bn-BD"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তিরমিযী: ৫/১৭৯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হাদীস নং ২৯১৭;</w:t>
      </w:r>
      <w:r w:rsidRPr="0044610B">
        <w:rPr>
          <w:rFonts w:ascii="Kalpurush" w:hAnsi="Kalpurush" w:cs="Kalpurush"/>
          <w:lang w:bidi="bn-BD"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ইবন আবি শায়বাহ: ১০/৪৮০;</w:t>
      </w:r>
      <w:r w:rsidRPr="0044610B">
        <w:rPr>
          <w:rFonts w:ascii="Kalpurush" w:hAnsi="Kalpurush" w:cs="Kalpurush"/>
          <w:lang w:bidi="bn-BD"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তাবরানী: ১৮/১৬৬</w:t>
      </w:r>
      <w:r w:rsidRPr="0044610B">
        <w:rPr>
          <w:rFonts w:ascii="Calibri" w:hAnsi="Calibri" w:cs="Calibri"/>
          <w:lang w:bidi="bn-BD"/>
        </w:rPr>
        <w:t>Ñ</w:t>
      </w:r>
      <w:r w:rsidRPr="0044610B">
        <w:rPr>
          <w:rFonts w:ascii="Kalpurush" w:hAnsi="Kalpurush" w:cs="Kalpurush"/>
          <w:cs/>
          <w:lang w:bidi="bn-BD"/>
        </w:rPr>
        <w:t>১৬৭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হাদীস নং ৩৭০</w:t>
      </w:r>
      <w:r w:rsidRPr="0044610B">
        <w:rPr>
          <w:rFonts w:ascii="Calibri" w:hAnsi="Calibri" w:cs="Calibri"/>
          <w:lang w:bidi="bn-BD"/>
        </w:rPr>
        <w:t>Ñ</w:t>
      </w:r>
      <w:r w:rsidRPr="0044610B">
        <w:rPr>
          <w:rFonts w:ascii="Kalpurush" w:hAnsi="Kalpurush" w:cs="Kalpurush"/>
          <w:cs/>
          <w:lang w:bidi="bn-BD"/>
        </w:rPr>
        <w:t>৩৭৪;</w:t>
      </w:r>
      <w:r w:rsidRPr="0044610B">
        <w:rPr>
          <w:rFonts w:ascii="Kalpurush" w:hAnsi="Kalpurush" w:cs="Kalpurush"/>
          <w:lang w:bidi="bn-BD"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বাগাভী: ৪/৪৪১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হাদীস নং ১১৮৩</w:t>
      </w:r>
    </w:p>
  </w:footnote>
  <w:footnote w:id="4">
    <w:p w:rsidR="0044610B" w:rsidRPr="0044610B" w:rsidRDefault="0044610B" w:rsidP="0044610B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4610B">
        <w:rPr>
          <w:rStyle w:val="FootnoteReference"/>
          <w:rFonts w:ascii="Kalpurush" w:hAnsi="Kalpurush" w:cs="Kalpurush"/>
        </w:rPr>
        <w:footnoteRef/>
      </w:r>
      <w:r w:rsidRPr="0044610B">
        <w:rPr>
          <w:rFonts w:ascii="Kalpurush" w:hAnsi="Kalpurush" w:cs="Kalpurush"/>
          <w:rtl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আহমদ: ৫/৩৩৬;</w:t>
      </w:r>
      <w:r w:rsidRPr="0044610B">
        <w:rPr>
          <w:rFonts w:ascii="Kalpurush" w:hAnsi="Kalpurush" w:cs="Kalpurush"/>
          <w:lang w:bidi="bn-BD"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সহীহ বুখারী, হাদীস নং ২৩১০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৫০২৯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৫০৩০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৫০৮৭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৫১২১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৫১২৬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৫১৩২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৫১৩৫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৫১৪১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৫৮৭১</w:t>
      </w:r>
      <w:r w:rsidRPr="0044610B">
        <w:rPr>
          <w:rFonts w:ascii="Kalpurush" w:hAnsi="Kalpurush" w:cs="Kalpurush"/>
          <w:lang w:bidi="bn-BD"/>
        </w:rPr>
        <w:t xml:space="preserve">, </w:t>
      </w:r>
      <w:r w:rsidRPr="0044610B">
        <w:rPr>
          <w:rFonts w:ascii="Kalpurush" w:hAnsi="Kalpurush" w:cs="Kalpurush"/>
          <w:cs/>
          <w:lang w:bidi="bn-BD"/>
        </w:rPr>
        <w:t>৭৪১৭</w:t>
      </w:r>
    </w:p>
  </w:footnote>
  <w:footnote w:id="5">
    <w:p w:rsidR="0044610B" w:rsidRPr="0044610B" w:rsidRDefault="0044610B" w:rsidP="0044610B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4610B">
        <w:rPr>
          <w:rStyle w:val="FootnoteReference"/>
          <w:rFonts w:ascii="Kalpurush" w:hAnsi="Kalpurush" w:cs="Kalpurush"/>
        </w:rPr>
        <w:footnoteRef/>
      </w:r>
      <w:r w:rsidRPr="0044610B">
        <w:rPr>
          <w:rFonts w:ascii="Kalpurush" w:hAnsi="Kalpurush" w:cs="Kalpurush"/>
          <w:rtl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ইবন মাজাহ, হাদীস নং ১৫৩৬</w:t>
      </w:r>
    </w:p>
  </w:footnote>
  <w:footnote w:id="6">
    <w:p w:rsidR="0044610B" w:rsidRPr="0044610B" w:rsidRDefault="0044610B" w:rsidP="0044610B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4610B">
        <w:rPr>
          <w:rStyle w:val="FootnoteReference"/>
          <w:rFonts w:ascii="Kalpurush" w:hAnsi="Kalpurush" w:cs="Kalpurush"/>
        </w:rPr>
        <w:footnoteRef/>
      </w:r>
      <w:r w:rsidRPr="0044610B">
        <w:rPr>
          <w:rFonts w:ascii="Kalpurush" w:hAnsi="Kalpurush" w:cs="Kalpurush"/>
          <w:rtl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আবু দাউদ, হাদীস নং ৩৯৯৩</w:t>
      </w:r>
    </w:p>
  </w:footnote>
  <w:footnote w:id="7">
    <w:p w:rsidR="0044610B" w:rsidRPr="0044610B" w:rsidRDefault="0044610B" w:rsidP="0044610B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4610B">
        <w:rPr>
          <w:rStyle w:val="FootnoteReference"/>
          <w:rFonts w:ascii="Kalpurush" w:hAnsi="Kalpurush" w:cs="Kalpurush"/>
        </w:rPr>
        <w:footnoteRef/>
      </w:r>
      <w:r w:rsidRPr="0044610B">
        <w:rPr>
          <w:rFonts w:ascii="Kalpurush" w:hAnsi="Kalpurush" w:cs="Kalpurush"/>
          <w:rtl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সহীহ বুখারী, হাদীস নং ২৫১২;</w:t>
      </w:r>
      <w:r w:rsidRPr="0044610B">
        <w:rPr>
          <w:rFonts w:ascii="Kalpurush" w:hAnsi="Kalpurush" w:cs="Kalpurush"/>
          <w:lang w:bidi="bn-BD"/>
        </w:rPr>
        <w:t xml:space="preserve"> </w:t>
      </w:r>
      <w:r w:rsidRPr="0044610B">
        <w:rPr>
          <w:rFonts w:ascii="Kalpurush" w:hAnsi="Kalpurush" w:cs="Kalpurush"/>
          <w:cs/>
          <w:lang w:bidi="bn-BD"/>
        </w:rPr>
        <w:t>সহীহ মুসলিম, হাদীস নং ৩২৪৮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-590329</wp:posOffset>
              </wp:positionH>
              <wp:positionV relativeFrom="paragraph">
                <wp:posOffset>-179871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310183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44610B" w:rsidP="0044610B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কুরআন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তিলাওয়াত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বা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অন্যান্য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ইবাদাতের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সাওয়াব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মৃত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ব্যক্তির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নিকট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4610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পৌঁছে</w:t>
                            </w:r>
                            <w:r w:rsidRPr="0044610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9530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4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D+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101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44610B" w:rsidP="0044610B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কুরআন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তিলাওয়াত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বা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অন্যান্য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ইবাদাতের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সাওয়াব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মৃত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ব্যক্তির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নিকট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4610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পৌঁছে</w:t>
                      </w:r>
                      <w:r w:rsidRPr="0044610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9530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4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FF8EFB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6953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9530B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69530B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9530B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5EDA0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698DC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14A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B636B"/>
    <w:rsid w:val="003E1AC6"/>
    <w:rsid w:val="00437EF4"/>
    <w:rsid w:val="0044610B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83508"/>
    <w:rsid w:val="0069530B"/>
    <w:rsid w:val="0069533C"/>
    <w:rsid w:val="006C1068"/>
    <w:rsid w:val="006E0420"/>
    <w:rsid w:val="006F4219"/>
    <w:rsid w:val="00717FAE"/>
    <w:rsid w:val="00770B0C"/>
    <w:rsid w:val="0077162A"/>
    <w:rsid w:val="0077514A"/>
    <w:rsid w:val="00795BD3"/>
    <w:rsid w:val="007C1387"/>
    <w:rsid w:val="007D5FEB"/>
    <w:rsid w:val="007E5889"/>
    <w:rsid w:val="007E70EB"/>
    <w:rsid w:val="00805CA7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A769B"/>
    <w:rsid w:val="00AD2A33"/>
    <w:rsid w:val="00AE51A2"/>
    <w:rsid w:val="00B3510F"/>
    <w:rsid w:val="00B50A3A"/>
    <w:rsid w:val="00B572EF"/>
    <w:rsid w:val="00B820AA"/>
    <w:rsid w:val="00B867C5"/>
    <w:rsid w:val="00B962D1"/>
    <w:rsid w:val="00BA456F"/>
    <w:rsid w:val="00BD0397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E19A9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162E01-3D3D-4630-8A36-F33A5C72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4461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10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61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9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39DDC-CACF-47BD-8A49-CA56E970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42</TotalTime>
  <Pages>6</Pages>
  <Words>1290</Words>
  <Characters>6620</Characters>
  <Application>Microsoft Office Word</Application>
  <DocSecurity>0</DocSecurity>
  <Lines>135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7849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কুরআন তিলাওয়াত বা অন্যান্য ইবাদাতের সাওয়াব কি মৃত ব্যক্তির নিকট পৌঁছে</dc:title>
  <dc:subject>কুরআন তিলাওয়াত বা অন্যান্য ইবাদাতের সাওয়াব কি মৃত ব্যক্তির নিকট পৌঁছে</dc:subject>
  <dc:creator>ইলমী গবেষণা ও ফাতাওয়ার স্থায়ী পরিষদ</dc:creator>
  <cp:keywords>কুরআন তিলাওয়াত বা অন্যান্য ইবাদাতের সাওয়াব কি মৃত ব্যক্তির নিকট পৌঁছে</cp:keywords>
  <dc:description>কুরআন তিলাওয়াত বা অন্যান্য ইবাদাতের সাওয়াব কি মৃত ব্যক্তির নিকট পৌঁছে</dc:description>
  <cp:lastModifiedBy>Mahmoud</cp:lastModifiedBy>
  <cp:revision>5</cp:revision>
  <cp:lastPrinted>2015-03-07T18:24:00Z</cp:lastPrinted>
  <dcterms:created xsi:type="dcterms:W3CDTF">2016-02-06T05:53:00Z</dcterms:created>
  <dcterms:modified xsi:type="dcterms:W3CDTF">2016-02-25T11:35:00Z</dcterms:modified>
  <cp:category/>
</cp:coreProperties>
</file>