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5066" w:rsidRDefault="00ED5066" w:rsidP="00ED5066">
      <w:pPr>
        <w:spacing w:line="240" w:lineRule="auto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EG"/>
        </w:rPr>
      </w:pPr>
    </w:p>
    <w:p w:rsidR="00ED5066" w:rsidRPr="00ED488B" w:rsidRDefault="00ED5066" w:rsidP="00ED5066">
      <w:pPr>
        <w:spacing w:line="240" w:lineRule="auto"/>
        <w:jc w:val="center"/>
        <w:rPr>
          <w:rFonts w:ascii="Goudy Old Style" w:eastAsia="Verdana" w:hAnsi="Goudy Old Style" w:cstheme="majorBidi"/>
          <w:sz w:val="36"/>
          <w:szCs w:val="36"/>
          <w:lang w:val="it-IT" w:eastAsia="zh-CN" w:bidi="ar-SY"/>
        </w:rPr>
      </w:pPr>
      <w:r w:rsidRPr="00ED488B">
        <w:rPr>
          <w:rFonts w:ascii="Goudy Old Style" w:eastAsia="Verdana" w:hAnsi="Goudy Old Style" w:cstheme="majorBidi"/>
          <w:sz w:val="36"/>
          <w:szCs w:val="36"/>
          <w:lang w:val="it-IT" w:eastAsia="zh-CN" w:bidi="ar-SY"/>
        </w:rPr>
        <w:t>IL RIFERIMENTO È L’AVVISTAMENTO LUNARE E NON IL CALCOLO ASTRONOMICO</w:t>
      </w:r>
    </w:p>
    <w:p w:rsidR="00ED5066" w:rsidRPr="00ED488B" w:rsidRDefault="00ED5066" w:rsidP="00ED5066">
      <w:pPr>
        <w:bidi w:val="0"/>
        <w:spacing w:line="240" w:lineRule="auto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</w:p>
    <w:p w:rsidR="00244087" w:rsidRPr="00FD5E62" w:rsidRDefault="00ED5066" w:rsidP="00244087">
      <w:pPr>
        <w:spacing w:line="240" w:lineRule="auto"/>
        <w:ind w:right="180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</w:rPr>
        <w:drawing>
          <wp:anchor distT="0" distB="0" distL="114300" distR="114300" simplePos="0" relativeHeight="251659264" behindDoc="0" locked="0" layoutInCell="1" allowOverlap="1" wp14:anchorId="1949518A" wp14:editId="2CC9CB8A">
            <wp:simplePos x="0" y="0"/>
            <wp:positionH relativeFrom="margin">
              <wp:posOffset>554990</wp:posOffset>
            </wp:positionH>
            <wp:positionV relativeFrom="paragraph">
              <wp:posOffset>12065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087" w:rsidRPr="00FD5E62"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  <w:t xml:space="preserve"> </w:t>
      </w:r>
    </w:p>
    <w:p w:rsidR="00244087" w:rsidRPr="00FD5E62" w:rsidRDefault="00244087" w:rsidP="00244087">
      <w:pPr>
        <w:tabs>
          <w:tab w:val="left" w:pos="753"/>
          <w:tab w:val="center" w:pos="3118"/>
        </w:tabs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val="it-IT" w:eastAsia="zh-CN" w:bidi="ar-SY"/>
        </w:rPr>
      </w:pPr>
    </w:p>
    <w:p w:rsidR="00FD1E49" w:rsidRPr="00FD5E62" w:rsidRDefault="00FD1E49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val="it-IT" w:bidi="ar-EG"/>
        </w:rPr>
      </w:pPr>
    </w:p>
    <w:p w:rsidR="00FD1E49" w:rsidRPr="00256E49" w:rsidRDefault="00256E49" w:rsidP="00256E49">
      <w:pPr>
        <w:bidi w:val="0"/>
        <w:spacing w:line="240" w:lineRule="auto"/>
        <w:jc w:val="center"/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</w:pPr>
      <w:r w:rsidRPr="00256E49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Commissione Permanente</w:t>
      </w:r>
    </w:p>
    <w:p w:rsidR="00FD1E49" w:rsidRPr="00FD5E62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FD5E62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786AE6" w:rsidRPr="00FD5E62" w:rsidRDefault="00786AE6" w:rsidP="00786AE6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  <w:r w:rsidRPr="00FD5E62">
        <w:rPr>
          <w:rFonts w:asciiTheme="majorHAnsi" w:hAnsiTheme="majorHAnsi" w:cstheme="majorHAnsi"/>
          <w:sz w:val="32"/>
          <w:szCs w:val="32"/>
          <w:lang w:val="it-IT" w:bidi="ar-EG"/>
        </w:rPr>
        <w:t>Traduzione: Maria Pragliola</w:t>
      </w:r>
    </w:p>
    <w:p w:rsidR="00786AE6" w:rsidRPr="00ED488B" w:rsidRDefault="00FD5E62" w:rsidP="00786AE6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  <w:r w:rsidRPr="00ED488B">
        <w:rPr>
          <w:rFonts w:asciiTheme="majorHAnsi" w:hAnsiTheme="majorHAnsi" w:cstheme="majorHAnsi"/>
          <w:sz w:val="32"/>
          <w:szCs w:val="32"/>
          <w:lang w:val="it-IT" w:bidi="ar-EG"/>
        </w:rPr>
        <w:t>Revi</w:t>
      </w:r>
      <w:r w:rsidR="00786AE6" w:rsidRPr="00ED488B">
        <w:rPr>
          <w:rFonts w:asciiTheme="majorHAnsi" w:hAnsiTheme="majorHAnsi" w:cstheme="majorHAnsi"/>
          <w:sz w:val="32"/>
          <w:szCs w:val="32"/>
          <w:lang w:val="it-IT" w:bidi="ar-EG"/>
        </w:rPr>
        <w:t>sione: Rezk Mohamed A. Ismaeil</w:t>
      </w: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256E49" w:rsidRPr="00786AE6" w:rsidRDefault="00256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A70232" w:rsidRDefault="00A70232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</w:rPr>
      </w:pPr>
    </w:p>
    <w:p w:rsidR="00913548" w:rsidRPr="00913548" w:rsidRDefault="00913548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</w:rPr>
      </w:pPr>
      <w:r w:rsidRPr="00913548">
        <w:rPr>
          <w:rFonts w:ascii="ae_AlArabiya" w:hAnsi="ae_AlArabiya" w:cs="KFGQPC Uthman Taha Naskh" w:hint="cs"/>
          <w:b/>
          <w:bCs/>
          <w:sz w:val="42"/>
          <w:szCs w:val="48"/>
          <w:rtl/>
        </w:rPr>
        <w:lastRenderedPageBreak/>
        <w:t>الاعتماد</w:t>
      </w:r>
      <w:r w:rsidRPr="00913548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913548">
        <w:rPr>
          <w:rFonts w:ascii="ae_AlArabiya" w:hAnsi="ae_AlArabiya" w:cs="KFGQPC Uthman Taha Naskh" w:hint="cs"/>
          <w:b/>
          <w:bCs/>
          <w:sz w:val="42"/>
          <w:szCs w:val="48"/>
          <w:rtl/>
        </w:rPr>
        <w:t>على</w:t>
      </w:r>
      <w:r w:rsidRPr="00913548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913548">
        <w:rPr>
          <w:rFonts w:ascii="ae_AlArabiya" w:hAnsi="ae_AlArabiya" w:cs="KFGQPC Uthman Taha Naskh" w:hint="cs"/>
          <w:b/>
          <w:bCs/>
          <w:sz w:val="42"/>
          <w:szCs w:val="48"/>
          <w:rtl/>
        </w:rPr>
        <w:t>رؤية</w:t>
      </w:r>
      <w:r w:rsidRPr="00913548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913548">
        <w:rPr>
          <w:rFonts w:ascii="ae_AlArabiya" w:hAnsi="ae_AlArabiya" w:cs="KFGQPC Uthman Taha Naskh" w:hint="cs"/>
          <w:b/>
          <w:bCs/>
          <w:sz w:val="42"/>
          <w:szCs w:val="48"/>
          <w:rtl/>
        </w:rPr>
        <w:t>الهلال</w:t>
      </w:r>
      <w:r w:rsidRPr="00913548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913548">
        <w:rPr>
          <w:rFonts w:ascii="ae_AlArabiya" w:hAnsi="ae_AlArabiya" w:cs="KFGQPC Uthman Taha Naskh" w:hint="cs"/>
          <w:b/>
          <w:bCs/>
          <w:sz w:val="42"/>
          <w:szCs w:val="48"/>
          <w:rtl/>
        </w:rPr>
        <w:t>وليس</w:t>
      </w:r>
      <w:r w:rsidRPr="00913548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913548">
        <w:rPr>
          <w:rFonts w:ascii="ae_AlArabiya" w:hAnsi="ae_AlArabiya" w:cs="KFGQPC Uthman Taha Naskh" w:hint="cs"/>
          <w:b/>
          <w:bCs/>
          <w:sz w:val="42"/>
          <w:szCs w:val="48"/>
          <w:rtl/>
        </w:rPr>
        <w:t>الحسابات</w:t>
      </w:r>
      <w:r w:rsidRPr="00913548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913548">
        <w:rPr>
          <w:rFonts w:ascii="ae_AlArabiya" w:hAnsi="ae_AlArabiya" w:cs="KFGQPC Uthman Taha Naskh" w:hint="cs"/>
          <w:b/>
          <w:bCs/>
          <w:sz w:val="42"/>
          <w:szCs w:val="48"/>
          <w:rtl/>
        </w:rPr>
        <w:t>الفلكية</w:t>
      </w:r>
    </w:p>
    <w:p w:rsidR="00FD1E49" w:rsidRPr="006D26A1" w:rsidRDefault="008A58B6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FD1E49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0" w:name="OLE_LINK1"/>
    </w:p>
    <w:p w:rsidR="00FD1E49" w:rsidRPr="006D26A1" w:rsidRDefault="00256E49" w:rsidP="00786AE6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rtl/>
        </w:rPr>
      </w:pPr>
      <w:r w:rsidRPr="00256E49">
        <w:rPr>
          <w:rFonts w:asciiTheme="majorHAnsi" w:hAnsiTheme="majorHAnsi" w:cs="KFGQPC Uthman Taha Naskh" w:hint="cs"/>
          <w:sz w:val="40"/>
          <w:szCs w:val="40"/>
          <w:rtl/>
          <w:lang w:bidi="ar-EG"/>
        </w:rPr>
        <w:t>اللجنة</w:t>
      </w:r>
      <w:r w:rsidRPr="00256E49">
        <w:rPr>
          <w:rFonts w:asciiTheme="majorHAnsi" w:hAnsiTheme="majorHAnsi" w:cs="KFGQPC Uthman Taha Naskh"/>
          <w:sz w:val="40"/>
          <w:szCs w:val="40"/>
          <w:rtl/>
          <w:lang w:bidi="ar-EG"/>
        </w:rPr>
        <w:t xml:space="preserve"> </w:t>
      </w:r>
      <w:r w:rsidRPr="00256E49">
        <w:rPr>
          <w:rFonts w:asciiTheme="majorHAnsi" w:hAnsiTheme="majorHAnsi" w:cs="KFGQPC Uthman Taha Naskh" w:hint="cs"/>
          <w:sz w:val="40"/>
          <w:szCs w:val="40"/>
          <w:rtl/>
          <w:lang w:bidi="ar-EG"/>
        </w:rPr>
        <w:t>الدائمة</w:t>
      </w:r>
      <w:r w:rsidRPr="00256E49">
        <w:rPr>
          <w:rFonts w:asciiTheme="majorHAnsi" w:hAnsiTheme="majorHAnsi" w:cs="KFGQPC Uthman Taha Naskh"/>
          <w:sz w:val="40"/>
          <w:szCs w:val="40"/>
          <w:rtl/>
          <w:lang w:bidi="ar-EG"/>
        </w:rPr>
        <w:t xml:space="preserve"> </w:t>
      </w:r>
      <w:r w:rsidRPr="00256E49">
        <w:rPr>
          <w:rFonts w:asciiTheme="majorHAnsi" w:hAnsiTheme="majorHAnsi" w:cs="KFGQPC Uthman Taha Naskh" w:hint="cs"/>
          <w:sz w:val="40"/>
          <w:szCs w:val="40"/>
          <w:rtl/>
          <w:lang w:bidi="ar-EG"/>
        </w:rPr>
        <w:t>للبحوث</w:t>
      </w:r>
      <w:r w:rsidRPr="00256E49">
        <w:rPr>
          <w:rFonts w:asciiTheme="majorHAnsi" w:hAnsiTheme="majorHAnsi" w:cs="KFGQPC Uthman Taha Naskh"/>
          <w:sz w:val="40"/>
          <w:szCs w:val="40"/>
          <w:rtl/>
          <w:lang w:bidi="ar-EG"/>
        </w:rPr>
        <w:t xml:space="preserve"> </w:t>
      </w:r>
      <w:r w:rsidRPr="00256E49">
        <w:rPr>
          <w:rFonts w:asciiTheme="majorHAnsi" w:hAnsiTheme="majorHAnsi" w:cs="KFGQPC Uthman Taha Naskh" w:hint="cs"/>
          <w:sz w:val="40"/>
          <w:szCs w:val="40"/>
          <w:rtl/>
          <w:lang w:bidi="ar-EG"/>
        </w:rPr>
        <w:t>العلمية</w:t>
      </w:r>
      <w:r w:rsidRPr="00256E49">
        <w:rPr>
          <w:rFonts w:asciiTheme="majorHAnsi" w:hAnsiTheme="majorHAnsi" w:cs="KFGQPC Uthman Taha Naskh"/>
          <w:sz w:val="40"/>
          <w:szCs w:val="40"/>
          <w:rtl/>
          <w:lang w:bidi="ar-EG"/>
        </w:rPr>
        <w:t xml:space="preserve"> </w:t>
      </w:r>
      <w:r w:rsidRPr="00256E49">
        <w:rPr>
          <w:rFonts w:asciiTheme="majorHAnsi" w:hAnsiTheme="majorHAnsi" w:cs="KFGQPC Uthman Taha Naskh" w:hint="cs"/>
          <w:sz w:val="40"/>
          <w:szCs w:val="40"/>
          <w:rtl/>
          <w:lang w:bidi="ar-EG"/>
        </w:rPr>
        <w:t>والإفتاء</w:t>
      </w:r>
      <w:r w:rsidRPr="00256E49">
        <w:rPr>
          <w:rFonts w:asciiTheme="majorHAnsi" w:hAnsiTheme="majorHAnsi" w:cs="KFGQPC Uthman Taha Naskh"/>
          <w:sz w:val="40"/>
          <w:szCs w:val="40"/>
          <w:rtl/>
          <w:lang w:bidi="ar-EG"/>
        </w:rPr>
        <w:t xml:space="preserve"> </w:t>
      </w:r>
      <w:r w:rsidRPr="00256E49">
        <w:rPr>
          <w:rFonts w:asciiTheme="majorHAnsi" w:hAnsiTheme="majorHAnsi" w:cs="KFGQPC Uthman Taha Naskh" w:hint="cs"/>
          <w:sz w:val="40"/>
          <w:szCs w:val="40"/>
          <w:rtl/>
          <w:lang w:bidi="ar-EG"/>
        </w:rPr>
        <w:t>والدعوة</w:t>
      </w:r>
      <w:r w:rsidRPr="00256E49">
        <w:rPr>
          <w:rFonts w:asciiTheme="majorHAnsi" w:hAnsiTheme="majorHAnsi" w:cs="KFGQPC Uthman Taha Naskh"/>
          <w:sz w:val="40"/>
          <w:szCs w:val="40"/>
          <w:rtl/>
          <w:lang w:bidi="ar-EG"/>
        </w:rPr>
        <w:t xml:space="preserve"> </w:t>
      </w:r>
      <w:r w:rsidRPr="00256E49">
        <w:rPr>
          <w:rFonts w:asciiTheme="majorHAnsi" w:hAnsiTheme="majorHAnsi" w:cs="KFGQPC Uthman Taha Naskh" w:hint="cs"/>
          <w:sz w:val="40"/>
          <w:szCs w:val="40"/>
          <w:rtl/>
          <w:lang w:bidi="ar-EG"/>
        </w:rPr>
        <w:t>والإرشاد</w:t>
      </w:r>
      <w:r w:rsidR="008A58B6">
        <w:rPr>
          <w:rFonts w:ascii="Helvetica" w:hAnsi="Helvetica" w:cs="Helvetica"/>
          <w:color w:val="333333"/>
          <w:sz w:val="21"/>
          <w:szCs w:val="21"/>
        </w:rPr>
        <w:br/>
      </w:r>
    </w:p>
    <w:p w:rsidR="00FD1E49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</w:rPr>
      </w:pPr>
    </w:p>
    <w:p w:rsidR="00786AE6" w:rsidRPr="006D26A1" w:rsidRDefault="00786AE6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786AE6" w:rsidRDefault="00786AE6" w:rsidP="00786AE6">
      <w:pPr>
        <w:spacing w:line="240" w:lineRule="auto"/>
        <w:jc w:val="center"/>
        <w:rPr>
          <w:rFonts w:asciiTheme="majorHAnsi" w:hAnsiTheme="majorHAnsi" w:cs="KFGQPC Uthman Taha Naskh"/>
          <w:sz w:val="44"/>
          <w:szCs w:val="44"/>
        </w:rPr>
      </w:pP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ترجمة: </w:t>
      </w:r>
      <w:r w:rsidRPr="00F94020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</w:t>
      </w:r>
      <w:r w:rsidR="00F94020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</w:t>
      </w:r>
      <w:r w:rsidRPr="00F94020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ريا</w:t>
      </w: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 براليولا</w:t>
      </w:r>
    </w:p>
    <w:p w:rsidR="00FD1E49" w:rsidRPr="006D26A1" w:rsidRDefault="00786AE6" w:rsidP="00786AE6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مراجعة: رزق محمد عبد المجيد إسماعيل</w:t>
      </w:r>
    </w:p>
    <w:bookmarkEnd w:id="0"/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913548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BD3EC23" wp14:editId="6C16E290">
            <wp:simplePos x="0" y="0"/>
            <wp:positionH relativeFrom="margin">
              <wp:posOffset>-198755</wp:posOffset>
            </wp:positionH>
            <wp:positionV relativeFrom="paragraph">
              <wp:posOffset>399415</wp:posOffset>
            </wp:positionV>
            <wp:extent cx="5051425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Pr="006D26A1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FD1E49" w:rsidRPr="006D26A1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6"/>
          <w:szCs w:val="36"/>
          <w:lang w:bidi="ar-EG"/>
        </w:rPr>
      </w:pPr>
    </w:p>
    <w:p w:rsidR="00A375F5" w:rsidRPr="003A6EB8" w:rsidRDefault="00A375F5" w:rsidP="00ED488B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7"/>
          <w:szCs w:val="27"/>
          <w:lang w:val="it-IT" w:eastAsia="zh-CN" w:bidi="ar-SY"/>
        </w:rPr>
      </w:pPr>
      <w:bookmarkStart w:id="1" w:name="_Hlk481656827"/>
      <w:r w:rsidRPr="003A6EB8">
        <w:rPr>
          <w:rFonts w:asciiTheme="majorBidi" w:eastAsia="Verdana" w:hAnsiTheme="majorBidi" w:cstheme="majorBidi"/>
          <w:color w:val="800000"/>
          <w:sz w:val="27"/>
          <w:szCs w:val="27"/>
          <w:lang w:val="it-IT" w:eastAsia="zh-CN" w:bidi="ar-SY"/>
        </w:rPr>
        <w:lastRenderedPageBreak/>
        <w:t>IL RIFERIMENTO È L’AVVISTAMENTO LUNARE E NON IL CALCOLO ASTRONOMICO</w:t>
      </w:r>
    </w:p>
    <w:p w:rsidR="00A375F5" w:rsidRPr="003A6EB8" w:rsidRDefault="00A375F5" w:rsidP="00ED488B">
      <w:pPr>
        <w:bidi w:val="0"/>
        <w:jc w:val="both"/>
        <w:rPr>
          <w:rFonts w:asciiTheme="majorBidi" w:eastAsia="Times New Roman" w:hAnsiTheme="majorBidi" w:cstheme="majorBidi"/>
          <w:color w:val="008000"/>
          <w:sz w:val="27"/>
          <w:szCs w:val="27"/>
          <w:lang w:val="it-IT" w:eastAsia="zh-CN" w:bidi="ar-SY"/>
        </w:rPr>
      </w:pPr>
      <w:r w:rsidRPr="003A6EB8">
        <w:rPr>
          <w:rFonts w:asciiTheme="majorBidi" w:eastAsia="Times New Roman" w:hAnsiTheme="majorBidi" w:cstheme="majorBidi"/>
          <w:color w:val="008000"/>
          <w:sz w:val="27"/>
          <w:szCs w:val="27"/>
          <w:lang w:val="it-IT" w:eastAsia="zh-CN" w:bidi="ar-SY"/>
        </w:rPr>
        <w:t>È lecito per il musulmano prendere come riferimento per l’inizio del digiuno e il suo termine i calcoli astronomici oppure è indispensabile l’avvista</w:t>
      </w:r>
      <w:bookmarkStart w:id="2" w:name="_GoBack"/>
      <w:bookmarkEnd w:id="2"/>
      <w:r w:rsidRPr="003A6EB8">
        <w:rPr>
          <w:rFonts w:asciiTheme="majorBidi" w:eastAsia="Times New Roman" w:hAnsiTheme="majorBidi" w:cstheme="majorBidi"/>
          <w:color w:val="008000"/>
          <w:sz w:val="27"/>
          <w:szCs w:val="27"/>
          <w:lang w:val="it-IT" w:eastAsia="zh-CN" w:bidi="ar-SY"/>
        </w:rPr>
        <w:t>mento della falce lunare (</w:t>
      </w:r>
      <w:r w:rsidRPr="003A6EB8">
        <w:rPr>
          <w:rFonts w:asciiTheme="majorBidi" w:eastAsia="Times New Roman" w:hAnsiTheme="majorBidi" w:cstheme="majorBidi"/>
          <w:i/>
          <w:iCs/>
          <w:color w:val="008000"/>
          <w:sz w:val="27"/>
          <w:szCs w:val="27"/>
          <w:lang w:val="it-IT" w:eastAsia="zh-CN" w:bidi="ar-SY"/>
        </w:rPr>
        <w:t>Al-Hil</w:t>
      </w:r>
      <w:r w:rsidRPr="003A6EB8">
        <w:rPr>
          <w:rFonts w:asciiTheme="majorBidi" w:hAnsiTheme="majorBidi" w:cstheme="majorBidi"/>
          <w:i/>
          <w:iCs/>
          <w:color w:val="008000"/>
          <w:sz w:val="27"/>
          <w:szCs w:val="27"/>
          <w:lang w:val="it-IT"/>
        </w:rPr>
        <w:t>ā</w:t>
      </w:r>
      <w:r w:rsidRPr="003A6EB8">
        <w:rPr>
          <w:rFonts w:asciiTheme="majorBidi" w:eastAsia="Times New Roman" w:hAnsiTheme="majorBidi" w:cstheme="majorBidi"/>
          <w:i/>
          <w:iCs/>
          <w:color w:val="008000"/>
          <w:sz w:val="27"/>
          <w:szCs w:val="27"/>
          <w:lang w:val="it-IT" w:eastAsia="zh-CN" w:bidi="ar-SY"/>
        </w:rPr>
        <w:t>l</w:t>
      </w:r>
      <w:r w:rsidRPr="003A6EB8">
        <w:rPr>
          <w:rFonts w:asciiTheme="majorBidi" w:eastAsia="Times New Roman" w:hAnsiTheme="majorBidi" w:cstheme="majorBidi"/>
          <w:color w:val="008000"/>
          <w:sz w:val="27"/>
          <w:szCs w:val="27"/>
          <w:lang w:val="it-IT" w:eastAsia="zh-CN" w:bidi="ar-SY"/>
        </w:rPr>
        <w:t>)?</w:t>
      </w:r>
    </w:p>
    <w:p w:rsidR="00A375F5" w:rsidRPr="003A6EB8" w:rsidRDefault="00A375F5" w:rsidP="00ED488B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La lode a Iddio.</w:t>
      </w:r>
    </w:p>
    <w:p w:rsidR="003A6EB8" w:rsidRPr="003A6EB8" w:rsidRDefault="00A375F5" w:rsidP="00583AD1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La legislazione islamica è una legislazione tollerante ed è generale, le sue leggi sono onnicomprensive di tutti, umani e genii, a prescindere dai loro status, che siano sapienti o illetterati, gente di città o gente di campagna. Perciò Iddio gli ha reso facile il riconoscimento degli orari per gli atti di adorazione e ha stabilito per il loro inizio e la loro fine segni che tutti loro sono in grado di riconoscere. Ha reso il tramontare del sole segno dell’inizio del tempo del Tramonto (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Ma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u w:val="single"/>
          <w:lang w:val="it-IT" w:eastAsia="zh-CN" w:bidi="ar-SY"/>
        </w:rPr>
        <w:t>gh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rib</w:t>
      </w: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) e la fine del tempo del Pomeriggio (</w:t>
      </w:r>
      <w:r w:rsidR="00F41ED9" w:rsidRPr="00F41ED9">
        <w:rPr>
          <w:rFonts w:asciiTheme="majorBidi" w:hAnsiTheme="majorBidi" w:cstheme="majorBidi"/>
          <w:i/>
          <w:iCs/>
          <w:sz w:val="27"/>
          <w:szCs w:val="27"/>
          <w:lang w:val="it-IT"/>
        </w:rPr>
        <w:t>ʿ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Aşr</w:t>
      </w: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) e ha reso la scomparsa del crepuscolo rosso nel cielo segno dell’inizio del tempo della Sera (</w:t>
      </w:r>
      <w:r w:rsidR="00F41ED9" w:rsidRPr="00F41ED9">
        <w:rPr>
          <w:rFonts w:asciiTheme="majorBidi" w:hAnsiTheme="majorBidi" w:cstheme="majorBidi"/>
          <w:i/>
          <w:iCs/>
          <w:sz w:val="27"/>
          <w:szCs w:val="27"/>
          <w:lang w:val="it-IT"/>
        </w:rPr>
        <w:t>ʿ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Ish</w:t>
      </w:r>
      <w:r w:rsidRPr="003A6EB8">
        <w:rPr>
          <w:rFonts w:asciiTheme="majorBidi" w:hAnsiTheme="majorBidi" w:cstheme="majorBidi"/>
          <w:i/>
          <w:iCs/>
          <w:sz w:val="27"/>
          <w:szCs w:val="27"/>
          <w:lang w:val="it-IT"/>
        </w:rPr>
        <w:t>ā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’</w:t>
      </w: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), ad esempio. E ha reso l’avvistamento della falce della falce lunare (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Al-Hilāl</w:t>
      </w:r>
      <w:r w:rsidRPr="003A6EB8">
        <w:rPr>
          <w:rFonts w:asciiTheme="majorBidi" w:eastAsia="Verdana" w:hAnsiTheme="majorBidi" w:cstheme="majorBidi"/>
          <w:iCs/>
          <w:sz w:val="27"/>
          <w:szCs w:val="27"/>
          <w:lang w:val="it-IT" w:eastAsia="zh-CN" w:bidi="ar-SY"/>
        </w:rPr>
        <w:t>)</w:t>
      </w: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 dopo la sua scomparsa al termine del mese segno del principio del nuovo mese lunare e termine del mese precedente. Egli non ci ha incaricati di riconoscere l’inizio del mese lunare attraverso ciò che è noto soltanto a un ristretto numero di persone, ossia l’astronomia o i calcoli astronomici. E a ciò sono conformi i testi del Corano e della Sunnah, che hanno reso l’avvistamento di 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Al-Hilāl</w:t>
      </w: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 e la sua osservazione segnale per i musulmani perché inizino il digiuno di 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Ramaḑān</w:t>
      </w: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, e la sua interruzione con l’avvistamento di 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Al-Hilāl</w:t>
      </w: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 di 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u w:val="single"/>
          <w:lang w:val="it-IT" w:eastAsia="zh-CN" w:bidi="ar-SY"/>
        </w:rPr>
        <w:t>Sh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awwāl</w:t>
      </w: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; e così per la conferma della 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Ricorrenza del Sacrificio</w:t>
      </w: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 (</w:t>
      </w:r>
      <w:r w:rsidR="00583AD1" w:rsidRPr="00583AD1">
        <w:rPr>
          <w:rFonts w:asciiTheme="majorBidi" w:hAnsiTheme="majorBidi" w:cstheme="majorBidi"/>
          <w:i/>
          <w:iCs/>
          <w:sz w:val="27"/>
          <w:szCs w:val="27"/>
          <w:lang w:val="it-IT"/>
        </w:rPr>
        <w:t>ʿ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Īd Al-Aḑĥā</w:t>
      </w: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) e del Giorno di </w:t>
      </w:r>
      <w:r w:rsidR="00583AD1" w:rsidRPr="00583AD1">
        <w:rPr>
          <w:rFonts w:asciiTheme="majorBidi" w:hAnsiTheme="majorBidi" w:cstheme="majorBidi"/>
          <w:i/>
          <w:iCs/>
          <w:sz w:val="27"/>
          <w:szCs w:val="27"/>
          <w:lang w:val="it-IT"/>
        </w:rPr>
        <w:t>ʿ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Arafah</w:t>
      </w: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. </w:t>
      </w:r>
    </w:p>
    <w:p w:rsidR="00443ABB" w:rsidRDefault="00A375F5" w:rsidP="003A6EB8">
      <w:pPr>
        <w:bidi w:val="0"/>
        <w:spacing w:line="240" w:lineRule="auto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Iddio disse: </w:t>
      </w:r>
      <w:r w:rsidRPr="003A6EB8">
        <w:rPr>
          <w:rFonts w:asciiTheme="majorBidi" w:hAnsiTheme="majorBidi" w:cstheme="majorBidi"/>
          <w:b/>
          <w:bCs/>
          <w:sz w:val="27"/>
          <w:szCs w:val="27"/>
          <w:lang w:val="it-IT"/>
        </w:rPr>
        <w:t>{[…] chi tra di voi avvisti [la falce lunare de] il mese, allora che lo digiuni […]}</w:t>
      </w:r>
      <w:r w:rsidRPr="00443ABB">
        <w:rPr>
          <w:rFonts w:asciiTheme="majorBidi" w:hAnsiTheme="majorBidi" w:cstheme="majorBidi"/>
          <w:lang w:val="it-IT"/>
        </w:rPr>
        <w:t>[Al-Baqarah 2:185]</w:t>
      </w:r>
      <w:r w:rsidR="00443ABB">
        <w:rPr>
          <w:rFonts w:asciiTheme="majorBidi" w:hAnsiTheme="majorBidi" w:cstheme="majorBidi"/>
          <w:sz w:val="27"/>
          <w:szCs w:val="27"/>
          <w:lang w:val="it-IT"/>
        </w:rPr>
        <w:t>,</w:t>
      </w:r>
    </w:p>
    <w:p w:rsidR="00443ABB" w:rsidRDefault="00A375F5" w:rsidP="00443ABB">
      <w:pPr>
        <w:bidi w:val="0"/>
        <w:spacing w:line="240" w:lineRule="auto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3A6EB8">
        <w:rPr>
          <w:rFonts w:asciiTheme="majorBidi" w:hAnsiTheme="majorBidi" w:cstheme="majorBidi"/>
          <w:b/>
          <w:bCs/>
          <w:sz w:val="27"/>
          <w:szCs w:val="27"/>
          <w:lang w:val="it-IT"/>
        </w:rPr>
        <w:t>{Ti interrogano sulle falci lunari. Dì: “Sono riferimenti temporali per la gente e per il Pellegrinaggio […]”}</w:t>
      </w:r>
      <w:r w:rsidRPr="003A6EB8">
        <w:rPr>
          <w:rFonts w:asciiTheme="majorBidi" w:hAnsiTheme="majorBidi" w:cstheme="majorBidi"/>
          <w:sz w:val="27"/>
          <w:szCs w:val="27"/>
          <w:lang w:val="it-IT"/>
        </w:rPr>
        <w:t xml:space="preserve"> </w:t>
      </w:r>
    </w:p>
    <w:p w:rsidR="00A375F5" w:rsidRPr="003A6EB8" w:rsidRDefault="00A375F5" w:rsidP="00443ABB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443ABB">
        <w:rPr>
          <w:rFonts w:asciiTheme="majorBidi" w:hAnsiTheme="majorBidi" w:cstheme="majorBidi"/>
          <w:lang w:val="it-IT"/>
        </w:rPr>
        <w:t>[Al-Baqarah 2:189]</w:t>
      </w:r>
    </w:p>
    <w:p w:rsidR="00A375F5" w:rsidRPr="003A6EB8" w:rsidRDefault="00A375F5" w:rsidP="00ED488B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lastRenderedPageBreak/>
        <w:t xml:space="preserve">Il Profeta </w:t>
      </w:r>
      <w:r w:rsidRPr="003A6EB8">
        <w:rPr>
          <w:rFonts w:ascii="Arial Unicode MS" w:eastAsia="Verdana" w:hAnsi="Arial Unicode MS" w:cs="Arial Unicode MS" w:hint="cs"/>
          <w:sz w:val="27"/>
          <w:szCs w:val="27"/>
          <w:rtl/>
          <w:lang w:eastAsia="zh-CN" w:bidi="ar-SY"/>
        </w:rPr>
        <w:t>ﷺ</w:t>
      </w: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 disse: </w:t>
      </w:r>
      <w:r w:rsidRPr="003A6EB8">
        <w:rPr>
          <w:rFonts w:asciiTheme="majorBidi" w:eastAsia="Verdana" w:hAnsiTheme="majorBidi" w:cstheme="majorBidi"/>
          <w:b/>
          <w:bCs/>
          <w:i/>
          <w:iCs/>
          <w:sz w:val="27"/>
          <w:szCs w:val="27"/>
          <w:lang w:val="it-IT" w:eastAsia="zh-CN" w:bidi="ar-SY"/>
        </w:rPr>
        <w:t>“</w:t>
      </w:r>
      <w:r w:rsidRPr="003A6EB8">
        <w:rPr>
          <w:rFonts w:asciiTheme="majorBidi" w:hAnsiTheme="majorBidi" w:cstheme="majorBidi"/>
          <w:b/>
          <w:bCs/>
          <w:i/>
          <w:iCs/>
          <w:sz w:val="27"/>
          <w:szCs w:val="27"/>
          <w:lang w:val="it-IT"/>
        </w:rPr>
        <w:t>Se lo avvistate, allora digiunate e se lo avvistate, allora interrompete, e se vi risulta nuvoloso completate il mese con trenta giorni</w:t>
      </w:r>
      <w:r w:rsidRPr="003A6EB8">
        <w:rPr>
          <w:rFonts w:asciiTheme="majorBidi" w:eastAsia="Verdana" w:hAnsiTheme="majorBidi" w:cstheme="majorBidi"/>
          <w:b/>
          <w:bCs/>
          <w:i/>
          <w:iCs/>
          <w:sz w:val="27"/>
          <w:szCs w:val="27"/>
          <w:lang w:val="it-IT" w:eastAsia="zh-CN" w:bidi="ar-SY"/>
        </w:rPr>
        <w:t>”</w:t>
      </w: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.</w:t>
      </w:r>
    </w:p>
    <w:p w:rsidR="00F407C5" w:rsidRPr="00F00A23" w:rsidRDefault="00A375F5" w:rsidP="00ED488B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Così il Profeta </w:t>
      </w:r>
      <w:r w:rsidRPr="003A6EB8">
        <w:rPr>
          <w:rFonts w:ascii="Arial Unicode MS" w:eastAsia="Verdana" w:hAnsi="Arial Unicode MS" w:cs="Arial Unicode MS" w:hint="cs"/>
          <w:sz w:val="27"/>
          <w:szCs w:val="27"/>
          <w:rtl/>
          <w:lang w:eastAsia="zh-CN" w:bidi="ar-SY"/>
        </w:rPr>
        <w:t>ﷺ</w:t>
      </w: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 ha reso l’inizio del digiuno condizionale all’avvistamento confermato di 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Al-Hilāl</w:t>
      </w: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 di 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Ramaḑān</w:t>
      </w: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, e la rottura di esso condizionale alla conferma di Shawwal; e non legò tutto ciò a calcoli astronomici e ai movimenti dei corpi celesti. </w:t>
      </w:r>
      <w:r w:rsidRPr="00F00A23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E su questo si basava l’operato al tempo del Profeta </w:t>
      </w:r>
      <w:r w:rsidRPr="003A6EB8">
        <w:rPr>
          <w:rFonts w:ascii="Arial Unicode MS" w:eastAsia="Verdana" w:hAnsi="Arial Unicode MS" w:cs="Arial Unicode MS" w:hint="cs"/>
          <w:sz w:val="27"/>
          <w:szCs w:val="27"/>
          <w:rtl/>
          <w:lang w:eastAsia="zh-CN" w:bidi="ar-SY"/>
        </w:rPr>
        <w:t>ﷺ</w:t>
      </w:r>
      <w:r w:rsidRPr="00F00A23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, al tempo dei </w:t>
      </w:r>
      <w:r w:rsidRPr="00F00A23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Califfi ben diretti</w:t>
      </w:r>
      <w:r w:rsidRPr="00F00A23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 (</w:t>
      </w:r>
      <w:r w:rsidRPr="00F00A23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Al-</w:t>
      </w:r>
      <w:r w:rsidRPr="00F00A23">
        <w:rPr>
          <w:rFonts w:asciiTheme="majorBidi" w:eastAsia="Verdana" w:hAnsiTheme="majorBidi" w:cstheme="majorBidi"/>
          <w:i/>
          <w:iCs/>
          <w:sz w:val="27"/>
          <w:szCs w:val="27"/>
          <w:u w:val="single"/>
          <w:lang w:val="it-IT" w:eastAsia="zh-CN" w:bidi="ar-SY"/>
        </w:rPr>
        <w:t>Kh</w:t>
      </w:r>
      <w:r w:rsidRPr="00F00A23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ulafā’ Ar-Rā</w:t>
      </w:r>
      <w:r w:rsidRPr="00F00A23">
        <w:rPr>
          <w:rFonts w:asciiTheme="majorBidi" w:eastAsia="Verdana" w:hAnsiTheme="majorBidi" w:cstheme="majorBidi"/>
          <w:i/>
          <w:iCs/>
          <w:sz w:val="27"/>
          <w:szCs w:val="27"/>
          <w:u w:val="single"/>
          <w:lang w:val="it-IT" w:eastAsia="zh-CN" w:bidi="ar-SY"/>
        </w:rPr>
        <w:t>sh</w:t>
      </w:r>
      <w:r w:rsidRPr="00F00A23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idūn</w:t>
      </w:r>
      <w:r w:rsidRPr="00F00A23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), al tempo dei quattro </w:t>
      </w:r>
      <w:r w:rsidRPr="00F00A23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Imām</w:t>
      </w:r>
      <w:r w:rsidRPr="00F00A23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 e nel corso dei tre secoli di cui il Profeta </w:t>
      </w:r>
      <w:r w:rsidRPr="003A6EB8">
        <w:rPr>
          <w:rFonts w:ascii="Arial Unicode MS" w:eastAsia="Verdana" w:hAnsi="Arial Unicode MS" w:cs="Arial Unicode MS" w:hint="cs"/>
          <w:sz w:val="27"/>
          <w:szCs w:val="27"/>
          <w:rtl/>
          <w:lang w:eastAsia="zh-CN" w:bidi="ar-SY"/>
        </w:rPr>
        <w:t>ﷺ</w:t>
      </w:r>
      <w:r w:rsidRPr="00F00A23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 xml:space="preserve">  ha testimoniato il merito e l’eccellenza. </w:t>
      </w:r>
    </w:p>
    <w:p w:rsidR="00A375F5" w:rsidRPr="003A6EB8" w:rsidRDefault="00A375F5" w:rsidP="00583AD1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Fare riferimento per la conferma dei mesi lunari all’astronomia e l’inizio e il termine degli atti di adorazione senza l’avvistamento fa parte delle eresie (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bid</w:t>
      </w:r>
      <w:r w:rsidR="00583AD1" w:rsidRPr="00583AD1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ʿ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ah</w:t>
      </w: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) che non apportano alcun beneficio e sono prive di basi sciaraitiche. E il bene, tutto il bene, sta nel seguire i Predecessori (</w:t>
      </w:r>
      <w:r w:rsidRPr="003A6EB8">
        <w:rPr>
          <w:rFonts w:asciiTheme="majorBidi" w:eastAsia="Verdana" w:hAnsiTheme="majorBidi" w:cstheme="majorBidi"/>
          <w:i/>
          <w:iCs/>
          <w:sz w:val="27"/>
          <w:szCs w:val="27"/>
          <w:lang w:val="it-IT" w:eastAsia="zh-CN" w:bidi="ar-SY"/>
        </w:rPr>
        <w:t>Salaf</w:t>
      </w:r>
      <w:r w:rsidRPr="003A6EB8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) nelle questioni religiose, e il male, tutto il male, sta nelle eresie innovate nella religione. Che Iddio preservi noi, voi e tutti i musulmani dalla corruzione sia palese che celata.</w:t>
      </w:r>
    </w:p>
    <w:p w:rsidR="00A375F5" w:rsidRPr="00F407C5" w:rsidRDefault="00A375F5" w:rsidP="00113A29">
      <w:pPr>
        <w:bidi w:val="0"/>
        <w:spacing w:line="240" w:lineRule="auto"/>
        <w:rPr>
          <w:rFonts w:asciiTheme="majorBidi" w:eastAsia="Verdana" w:hAnsiTheme="majorBidi" w:cstheme="majorBidi"/>
          <w:sz w:val="24"/>
          <w:szCs w:val="24"/>
          <w:lang w:val="it-IT" w:eastAsia="zh-CN" w:bidi="ar-SY"/>
        </w:rPr>
      </w:pPr>
      <w:r w:rsidRPr="00F407C5">
        <w:rPr>
          <w:rFonts w:asciiTheme="majorBidi" w:hAnsiTheme="majorBidi" w:cstheme="majorBidi"/>
          <w:sz w:val="24"/>
          <w:szCs w:val="24"/>
          <w:lang w:val="it-IT"/>
        </w:rPr>
        <w:t>[</w:t>
      </w:r>
      <w:r w:rsidRPr="00F407C5">
        <w:rPr>
          <w:rFonts w:asciiTheme="majorBidi" w:hAnsiTheme="majorBidi" w:cstheme="majorBidi"/>
          <w:i/>
          <w:iCs/>
          <w:sz w:val="24"/>
          <w:szCs w:val="24"/>
          <w:lang w:val="it-IT"/>
        </w:rPr>
        <w:t xml:space="preserve">Fatāwā </w:t>
      </w:r>
      <w:r w:rsidRPr="00F407C5">
        <w:rPr>
          <w:rFonts w:asciiTheme="majorBidi" w:eastAsia="Verdana" w:hAnsiTheme="majorBidi" w:cstheme="majorBidi"/>
          <w:i/>
          <w:iCs/>
          <w:sz w:val="24"/>
          <w:szCs w:val="24"/>
          <w:lang w:val="it-IT" w:eastAsia="zh-CN" w:bidi="ar-SY"/>
        </w:rPr>
        <w:t>Al-Lajnah Ad-D</w:t>
      </w:r>
      <w:r w:rsidRPr="00F407C5">
        <w:rPr>
          <w:rFonts w:asciiTheme="majorBidi" w:hAnsiTheme="majorBidi" w:cstheme="majorBidi"/>
          <w:i/>
          <w:iCs/>
          <w:sz w:val="24"/>
          <w:szCs w:val="24"/>
          <w:lang w:val="it-IT"/>
        </w:rPr>
        <w:t>ā</w:t>
      </w:r>
      <w:r w:rsidR="00113A29" w:rsidRPr="00A70232">
        <w:rPr>
          <w:rFonts w:asciiTheme="majorBidi" w:eastAsia="Verdana" w:hAnsiTheme="majorBidi" w:cstheme="majorBidi"/>
          <w:i/>
          <w:iCs/>
          <w:sz w:val="24"/>
          <w:szCs w:val="24"/>
          <w:lang w:val="it-IT" w:eastAsia="zh-CN" w:bidi="ar-SY"/>
        </w:rPr>
        <w:t>’</w:t>
      </w:r>
      <w:r w:rsidRPr="00F407C5">
        <w:rPr>
          <w:rFonts w:asciiTheme="majorBidi" w:eastAsia="Verdana" w:hAnsiTheme="majorBidi" w:cstheme="majorBidi"/>
          <w:i/>
          <w:iCs/>
          <w:sz w:val="24"/>
          <w:szCs w:val="24"/>
          <w:lang w:val="it-IT" w:eastAsia="zh-CN" w:bidi="ar-SY"/>
        </w:rPr>
        <w:t>imah</w:t>
      </w:r>
      <w:r w:rsidRPr="00F407C5">
        <w:rPr>
          <w:rFonts w:asciiTheme="majorBidi" w:eastAsia="Verdana" w:hAnsiTheme="majorBidi" w:cstheme="majorBidi"/>
          <w:sz w:val="24"/>
          <w:szCs w:val="24"/>
          <w:lang w:val="it-IT" w:eastAsia="zh-CN" w:bidi="ar-SY"/>
        </w:rPr>
        <w:t xml:space="preserve"> (</w:t>
      </w:r>
      <w:r w:rsidR="00F407C5" w:rsidRPr="00F407C5">
        <w:rPr>
          <w:rFonts w:asciiTheme="majorBidi" w:eastAsia="Verdana" w:hAnsiTheme="majorBidi" w:cstheme="majorBidi"/>
          <w:sz w:val="24"/>
          <w:szCs w:val="24"/>
          <w:lang w:val="it-IT" w:eastAsia="zh-CN" w:bidi="ar-SY"/>
        </w:rPr>
        <w:t xml:space="preserve">I verdetti della </w:t>
      </w:r>
      <w:r w:rsidRPr="00F407C5">
        <w:rPr>
          <w:rFonts w:asciiTheme="majorBidi" w:eastAsia="Verdana" w:hAnsiTheme="majorBidi" w:cstheme="majorBidi"/>
          <w:sz w:val="24"/>
          <w:szCs w:val="24"/>
          <w:lang w:val="it-IT" w:eastAsia="zh-CN" w:bidi="ar-SY"/>
        </w:rPr>
        <w:t>Commissione Permanente) (10/106)].</w:t>
      </w:r>
    </w:p>
    <w:p w:rsidR="00786AE6" w:rsidRPr="00ED488B" w:rsidRDefault="00786AE6" w:rsidP="00786AE6">
      <w:pPr>
        <w:bidi w:val="0"/>
        <w:spacing w:line="240" w:lineRule="auto"/>
        <w:jc w:val="both"/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</w:pPr>
    </w:p>
    <w:p w:rsidR="00CA5FDC" w:rsidRPr="00CA5FDC" w:rsidRDefault="00CA5FDC" w:rsidP="003A3CDC">
      <w:pPr>
        <w:spacing w:line="240" w:lineRule="auto"/>
        <w:jc w:val="right"/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</w:pPr>
    </w:p>
    <w:bookmarkEnd w:id="1"/>
    <w:p w:rsidR="00FD1E49" w:rsidRPr="00CA5FDC" w:rsidRDefault="00FD1E49" w:rsidP="00FD1E49">
      <w:pPr>
        <w:tabs>
          <w:tab w:val="left" w:pos="2910"/>
        </w:tabs>
        <w:bidi w:val="0"/>
        <w:rPr>
          <w:rFonts w:ascii="Arial" w:hAnsi="Arial" w:cs="Arial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rPr>
          <w:rFonts w:cstheme="minorHAnsi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rPr>
          <w:rFonts w:cstheme="minorHAnsi"/>
          <w:color w:val="006666"/>
          <w:sz w:val="36"/>
          <w:szCs w:val="36"/>
          <w:rtl/>
          <w:lang w:bidi="ar-EG"/>
        </w:rPr>
      </w:pPr>
    </w:p>
    <w:sectPr w:rsidR="00FD1E49" w:rsidRPr="00DA5D93" w:rsidSect="00CF6C11">
      <w:headerReference w:type="even" r:id="rId10"/>
      <w:footerReference w:type="default" r:id="rId11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908" w:rsidRDefault="00E45908" w:rsidP="00E32771">
      <w:pPr>
        <w:spacing w:after="0" w:line="240" w:lineRule="auto"/>
      </w:pPr>
      <w:r>
        <w:separator/>
      </w:r>
    </w:p>
  </w:endnote>
  <w:endnote w:type="continuationSeparator" w:id="0">
    <w:p w:rsidR="00E45908" w:rsidRDefault="00E4590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99736E5-D612-4C67-AA57-4142CF872A57}"/>
    <w:embedBold r:id="rId2" w:fontKey="{FCF4865C-6593-4EFB-BB73-C87F025D23C0}"/>
    <w:embedItalic r:id="rId3" w:fontKey="{C9CD9C0D-8B60-42B4-80BF-36294A9573C4}"/>
    <w:embedBoldItalic r:id="rId4" w:fontKey="{E46339A3-1548-4EF5-91E2-7E00BA8231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1B5E53A7-BAEF-4A66-869D-E9D7BDF2B77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A6779EA4-9E21-4982-909F-04A0A7F94945}"/>
    <w:embedBold r:id="rId7" w:fontKey="{5AED80F6-A0C8-401E-B169-F438A07D8E41}"/>
    <w:embedItalic r:id="rId8" w:fontKey="{46A50313-E847-402E-8D73-97BB63A0FB22}"/>
    <w:embedBoldItalic r:id="rId9" w:fontKey="{27A6150B-4328-47D0-B43B-4CA36AFC010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B54EF742-BE05-4DF7-AF82-6F364449704D}"/>
    <w:embedItalic r:id="rId11" w:fontKey="{65E7B566-6159-49CA-B7C9-9776AEAE6559}"/>
    <w:embedBoldItalic r:id="rId12" w:fontKey="{0339BA06-BD75-4D3A-8FE6-46CA8FA7D507}"/>
  </w:font>
  <w:font w:name="Goudy Old Style">
    <w:panose1 w:val="02020602050305090303"/>
    <w:charset w:val="00"/>
    <w:family w:val="roman"/>
    <w:pitch w:val="variable"/>
    <w:sig w:usb0="00000007" w:usb1="00000000" w:usb2="00000000" w:usb3="00000000" w:csb0="00000003" w:csb1="00000000"/>
    <w:embedRegular r:id="rId13" w:fontKey="{C55D6A76-3818-42E9-AAB5-6F717B165BFA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BA115433-4900-4C63-82DB-E738F3940E7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57E8C126-BB53-4767-8A33-78C9A097DE4A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9C14C7B5-E18D-4AD9-AADB-D20FDB7DA93C}"/>
    <w:embedBold r:id="rId17" w:fontKey="{A968D594-D143-4C66-94DD-4557DF9CAF69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18" w:fontKey="{95B3436E-05C9-4807-8506-5C871BEBFE09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9" w:fontKey="{BD21AB56-6885-4987-B37F-2AD78A43F238}"/>
    <w:embedBold r:id="rId20" w:fontKey="{3D0B38BA-D242-4DF5-AC97-2C8BEEFE176F}"/>
  </w:font>
  <w:font w:name="Adobe نسخ Medium">
    <w:altName w:val="Arial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1" w:fontKey="{B60C26EE-3EBC-4377-84EE-0991626DE3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22" w:subsetted="1" w:fontKey="{16048E8F-E295-4349-B256-4E0EFC9F812E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3" w:fontKey="{B068D961-6558-447E-9D0D-B910068A9C28}"/>
    <w:embedBold r:id="rId24" w:fontKey="{8FDB0DF4-930F-4FDA-856D-EB9C3BE8513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5" w:fontKey="{92F6DAFD-03A2-4A03-86F7-2EFCF3D1D0EF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6" w:fontKey="{AE93F4B9-99A2-45B8-9CA8-5CCEACA955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1266617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41BB" w:rsidRDefault="002841B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0A23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:rsidR="002841BB" w:rsidRDefault="002841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908" w:rsidRDefault="00E45908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E45908" w:rsidRDefault="00E45908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E45908" w:rsidRDefault="00E45908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qt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EaQT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AqLOq2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542C4"/>
    <w:multiLevelType w:val="hybridMultilevel"/>
    <w:tmpl w:val="56AECB34"/>
    <w:lvl w:ilvl="0" w:tplc="013485A0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A53B5"/>
    <w:rsid w:val="000A6307"/>
    <w:rsid w:val="000A6BE0"/>
    <w:rsid w:val="000C2B16"/>
    <w:rsid w:val="000D5816"/>
    <w:rsid w:val="00113A29"/>
    <w:rsid w:val="00171C08"/>
    <w:rsid w:val="00184B62"/>
    <w:rsid w:val="00187D3B"/>
    <w:rsid w:val="001A0D79"/>
    <w:rsid w:val="001E28C4"/>
    <w:rsid w:val="001F4E86"/>
    <w:rsid w:val="002219E3"/>
    <w:rsid w:val="00223B3B"/>
    <w:rsid w:val="0023307B"/>
    <w:rsid w:val="00244087"/>
    <w:rsid w:val="00256E49"/>
    <w:rsid w:val="00267C61"/>
    <w:rsid w:val="00270AE8"/>
    <w:rsid w:val="002841BB"/>
    <w:rsid w:val="002A62C6"/>
    <w:rsid w:val="002B2FF1"/>
    <w:rsid w:val="002B662B"/>
    <w:rsid w:val="002C09FA"/>
    <w:rsid w:val="003072B2"/>
    <w:rsid w:val="00317B3C"/>
    <w:rsid w:val="003238D3"/>
    <w:rsid w:val="00347608"/>
    <w:rsid w:val="00357B1F"/>
    <w:rsid w:val="00372A0D"/>
    <w:rsid w:val="00387B25"/>
    <w:rsid w:val="003906F7"/>
    <w:rsid w:val="003A3CDC"/>
    <w:rsid w:val="003A6EB8"/>
    <w:rsid w:val="003E18E8"/>
    <w:rsid w:val="003E1AC6"/>
    <w:rsid w:val="00443ABB"/>
    <w:rsid w:val="00447B55"/>
    <w:rsid w:val="00447F09"/>
    <w:rsid w:val="004C1156"/>
    <w:rsid w:val="004C2827"/>
    <w:rsid w:val="004C2F52"/>
    <w:rsid w:val="004E2AD6"/>
    <w:rsid w:val="004E38A0"/>
    <w:rsid w:val="004E78EF"/>
    <w:rsid w:val="00556722"/>
    <w:rsid w:val="005666DC"/>
    <w:rsid w:val="00575281"/>
    <w:rsid w:val="00583AD1"/>
    <w:rsid w:val="0058544F"/>
    <w:rsid w:val="005A2707"/>
    <w:rsid w:val="0060157E"/>
    <w:rsid w:val="00604DD9"/>
    <w:rsid w:val="00626D06"/>
    <w:rsid w:val="00662A2B"/>
    <w:rsid w:val="0069533C"/>
    <w:rsid w:val="006B4F4B"/>
    <w:rsid w:val="00705C71"/>
    <w:rsid w:val="00717FAE"/>
    <w:rsid w:val="00742BE0"/>
    <w:rsid w:val="0076729A"/>
    <w:rsid w:val="0077162A"/>
    <w:rsid w:val="0077680D"/>
    <w:rsid w:val="007778EF"/>
    <w:rsid w:val="00786AE6"/>
    <w:rsid w:val="00790C62"/>
    <w:rsid w:val="007A33AB"/>
    <w:rsid w:val="007A373F"/>
    <w:rsid w:val="007E1A8B"/>
    <w:rsid w:val="007E5889"/>
    <w:rsid w:val="007E5A5E"/>
    <w:rsid w:val="007E70EB"/>
    <w:rsid w:val="00814452"/>
    <w:rsid w:val="008210B3"/>
    <w:rsid w:val="00853076"/>
    <w:rsid w:val="00855E30"/>
    <w:rsid w:val="00885CFF"/>
    <w:rsid w:val="008A2F5F"/>
    <w:rsid w:val="008A5781"/>
    <w:rsid w:val="008A58B6"/>
    <w:rsid w:val="008B3703"/>
    <w:rsid w:val="008D70C8"/>
    <w:rsid w:val="008E2038"/>
    <w:rsid w:val="008F371A"/>
    <w:rsid w:val="008F7B8B"/>
    <w:rsid w:val="0090385D"/>
    <w:rsid w:val="00910AF4"/>
    <w:rsid w:val="00913548"/>
    <w:rsid w:val="00944C90"/>
    <w:rsid w:val="009967F9"/>
    <w:rsid w:val="00A021C5"/>
    <w:rsid w:val="00A052E1"/>
    <w:rsid w:val="00A0781B"/>
    <w:rsid w:val="00A26C77"/>
    <w:rsid w:val="00A375F5"/>
    <w:rsid w:val="00A507EE"/>
    <w:rsid w:val="00A6115B"/>
    <w:rsid w:val="00A61E5C"/>
    <w:rsid w:val="00A6603E"/>
    <w:rsid w:val="00A679E7"/>
    <w:rsid w:val="00A70232"/>
    <w:rsid w:val="00A954DA"/>
    <w:rsid w:val="00B04BE4"/>
    <w:rsid w:val="00B21534"/>
    <w:rsid w:val="00B3510F"/>
    <w:rsid w:val="00B50A3A"/>
    <w:rsid w:val="00B71399"/>
    <w:rsid w:val="00B820AA"/>
    <w:rsid w:val="00BA456F"/>
    <w:rsid w:val="00BD190F"/>
    <w:rsid w:val="00BF04A9"/>
    <w:rsid w:val="00C03201"/>
    <w:rsid w:val="00C10E38"/>
    <w:rsid w:val="00C27E1F"/>
    <w:rsid w:val="00C31855"/>
    <w:rsid w:val="00C37C22"/>
    <w:rsid w:val="00C408EE"/>
    <w:rsid w:val="00C72BD4"/>
    <w:rsid w:val="00CA5FDC"/>
    <w:rsid w:val="00CD2CD6"/>
    <w:rsid w:val="00CD4735"/>
    <w:rsid w:val="00CE6030"/>
    <w:rsid w:val="00CF693B"/>
    <w:rsid w:val="00CF6C11"/>
    <w:rsid w:val="00D06CFA"/>
    <w:rsid w:val="00D15CF7"/>
    <w:rsid w:val="00D2227B"/>
    <w:rsid w:val="00D46176"/>
    <w:rsid w:val="00D849A2"/>
    <w:rsid w:val="00D85A5F"/>
    <w:rsid w:val="00DA3EF4"/>
    <w:rsid w:val="00DA5D93"/>
    <w:rsid w:val="00DC6A8E"/>
    <w:rsid w:val="00DE5862"/>
    <w:rsid w:val="00E25D4B"/>
    <w:rsid w:val="00E32771"/>
    <w:rsid w:val="00E3745F"/>
    <w:rsid w:val="00E45908"/>
    <w:rsid w:val="00E5682B"/>
    <w:rsid w:val="00E710AA"/>
    <w:rsid w:val="00EB6A67"/>
    <w:rsid w:val="00ED488B"/>
    <w:rsid w:val="00ED5066"/>
    <w:rsid w:val="00EE5A20"/>
    <w:rsid w:val="00EE70E3"/>
    <w:rsid w:val="00F00A23"/>
    <w:rsid w:val="00F2420A"/>
    <w:rsid w:val="00F2570D"/>
    <w:rsid w:val="00F3173B"/>
    <w:rsid w:val="00F407C5"/>
    <w:rsid w:val="00F41ED9"/>
    <w:rsid w:val="00F80820"/>
    <w:rsid w:val="00F94020"/>
    <w:rsid w:val="00FD1E49"/>
    <w:rsid w:val="00FD5E62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F6D22D9-4AA1-4523-9D56-725E86BB8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0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E9FDC-2474-4BB3-A0B0-DA3D3D45E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554</Words>
  <Characters>2899</Characters>
  <Application>Microsoft Office Word</Application>
  <DocSecurity>0</DocSecurity>
  <Lines>93</Lines>
  <Paragraphs>23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IL RIFERIMENTO È L’AVVISTAMENTO LUNARE E NON IL CALCOLO ASTRONOMICO</vt:lpstr>
      <vt:lpstr>NON V’Ѐ DISAGIO A RECUPERARE [I DIGIUNI DI RAMAḐĀN MANCATI] NELLA SECONDA METÀ DI SHA᾿BĀN</vt:lpstr>
    </vt:vector>
  </TitlesOfParts>
  <Manager/>
  <Company>islamhouse.com</Company>
  <LinksUpToDate>false</LinksUpToDate>
  <CharactersWithSpaces>3430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RIFERIMENTO È L’AVVISTAMENTO LUNARE E NON IL CALCOLO ASTRONOMICO</dc:title>
  <dc:subject>IL RIFERIMENTO È L’AVVISTAMENTO LUNARE E NON IL CALCOLO ASTRONOMICO</dc:subject>
  <dc:creator>Commissione Permanente</dc:creator>
  <cp:keywords>IL RIFERIMENTO È L’AVVISTAMENTO LUNARE E NON IL CALCOLO ASTRONOMICO</cp:keywords>
  <dc:description>IL RIFERIMENTO È L’AVVISTAMENTO LUNARE E NON IL CALCOLO ASTRONOMICO</dc:description>
  <cp:lastModifiedBy>elhashemy</cp:lastModifiedBy>
  <cp:revision>4</cp:revision>
  <cp:lastPrinted>2015-01-13T04:52:00Z</cp:lastPrinted>
  <dcterms:created xsi:type="dcterms:W3CDTF">2017-09-18T05:41:00Z</dcterms:created>
  <dcterms:modified xsi:type="dcterms:W3CDTF">2017-09-19T14:56:00Z</dcterms:modified>
  <cp:category/>
</cp:coreProperties>
</file>