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5D" w:rsidRPr="00FC2A78" w:rsidRDefault="0007535D" w:rsidP="0007535D">
      <w:pPr>
        <w:bidi w:val="0"/>
        <w:jc w:val="both"/>
        <w:rPr>
          <w:rFonts w:ascii="Calibri" w:hAnsi="Calibri" w:cs="KFGQPC Uthman Taha Naskh"/>
          <w:b/>
          <w:bCs/>
          <w:color w:val="800000"/>
          <w:sz w:val="40"/>
          <w:szCs w:val="40"/>
          <w:lang w:val="en-US"/>
        </w:rPr>
      </w:pPr>
    </w:p>
    <w:p w:rsidR="0007535D" w:rsidRDefault="0007535D" w:rsidP="0007535D">
      <w:pPr>
        <w:bidi w:val="0"/>
        <w:jc w:val="both"/>
        <w:rPr>
          <w:rFonts w:ascii="Calibri" w:hAnsi="Calibri" w:cs="KFGQPC Uthman Taha Naskh"/>
          <w:b/>
          <w:bCs/>
          <w:color w:val="800000"/>
          <w:sz w:val="40"/>
          <w:szCs w:val="40"/>
          <w:lang w:val="es-AR"/>
        </w:rPr>
      </w:pPr>
    </w:p>
    <w:p w:rsidR="0007535D" w:rsidRPr="00180C91" w:rsidRDefault="0007535D" w:rsidP="0007535D">
      <w:pPr>
        <w:bidi w:val="0"/>
        <w:jc w:val="both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val="es-AR"/>
        </w:rPr>
      </w:pPr>
    </w:p>
    <w:p w:rsidR="0007535D" w:rsidRPr="0031406F" w:rsidRDefault="0007535D" w:rsidP="0007535D">
      <w:pPr>
        <w:tabs>
          <w:tab w:val="left" w:pos="-3150"/>
        </w:tabs>
        <w:jc w:val="center"/>
        <w:rPr>
          <w:rFonts w:ascii="Calibri" w:hAnsi="Calibri" w:cs="KFGQPC Uthman Taha Naskh"/>
          <w:b/>
          <w:bCs/>
          <w:color w:val="800000"/>
          <w:sz w:val="48"/>
          <w:szCs w:val="48"/>
        </w:rPr>
      </w:pPr>
      <w:r w:rsidRPr="0031406F">
        <w:rPr>
          <w:rFonts w:ascii="Calibri" w:hAnsi="Calibri" w:cs="KFGQPC Uthman Taha Naskh"/>
          <w:b/>
          <w:bCs/>
          <w:color w:val="800000"/>
          <w:sz w:val="48"/>
          <w:szCs w:val="48"/>
        </w:rPr>
        <w:t>Dhuntia më e madhe që ekziston</w:t>
      </w:r>
      <w:r w:rsidRPr="0031406F">
        <w:rPr>
          <w:rFonts w:ascii="Calibri" w:hAnsi="Calibri" w:cs="KFGQPC Uthman Taha Naskh" w:hint="cs"/>
          <w:b/>
          <w:bCs/>
          <w:color w:val="800000"/>
          <w:sz w:val="48"/>
          <w:szCs w:val="48"/>
          <w:rtl/>
        </w:rPr>
        <w:t xml:space="preserve"> </w:t>
      </w:r>
    </w:p>
    <w:p w:rsidR="0007535D" w:rsidRPr="007E3FD4" w:rsidRDefault="0007535D" w:rsidP="0007535D">
      <w:pPr>
        <w:tabs>
          <w:tab w:val="left" w:pos="-3150"/>
        </w:tabs>
        <w:jc w:val="center"/>
        <w:rPr>
          <w:rFonts w:ascii="Traditional Arabic" w:eastAsia="MS UI Gothic" w:hAnsi="Traditional Arabic"/>
          <w:color w:val="auto"/>
          <w:sz w:val="56"/>
          <w:szCs w:val="56"/>
        </w:rPr>
      </w:pPr>
      <w:r w:rsidRPr="007E3FD4">
        <w:rPr>
          <w:rFonts w:ascii="Traditional Arabic" w:hAnsi="Traditional Arabic"/>
          <w:sz w:val="56"/>
          <w:szCs w:val="56"/>
          <w:rtl/>
        </w:rPr>
        <w:t xml:space="preserve">﴿ </w:t>
      </w:r>
      <w:r>
        <w:rPr>
          <w:rFonts w:ascii="Traditional Arabic" w:hAnsi="Traditional Arabic" w:hint="cs"/>
          <w:color w:val="auto"/>
          <w:sz w:val="56"/>
          <w:szCs w:val="56"/>
          <w:rtl/>
        </w:rPr>
        <w:t>أعظم نعمة في الوجود</w:t>
      </w:r>
      <w:r w:rsidRPr="007E3FD4">
        <w:rPr>
          <w:rFonts w:ascii="Traditional Arabic" w:hAnsi="Traditional Arabic"/>
          <w:color w:val="auto"/>
          <w:sz w:val="56"/>
          <w:szCs w:val="56"/>
          <w:rtl/>
        </w:rPr>
        <w:t xml:space="preserve"> </w:t>
      </w:r>
      <w:r w:rsidRPr="007E3FD4">
        <w:rPr>
          <w:rFonts w:ascii="Traditional Arabic" w:hAnsi="Traditional Arabic"/>
          <w:sz w:val="56"/>
          <w:szCs w:val="56"/>
          <w:rtl/>
        </w:rPr>
        <w:t>﴾</w:t>
      </w:r>
    </w:p>
    <w:p w:rsidR="0007535D" w:rsidRPr="009D6951" w:rsidRDefault="0007535D" w:rsidP="0007535D">
      <w:pPr>
        <w:bidi w:val="0"/>
        <w:jc w:val="center"/>
        <w:rPr>
          <w:rFonts w:ascii="Calibri" w:eastAsia="MS UI Gothic" w:hAnsi="Calibri" w:cs="KFGQPC Uthman Taha Naskh"/>
          <w:sz w:val="28"/>
          <w:szCs w:val="28"/>
          <w:lang w:bidi="ar-EG"/>
        </w:rPr>
      </w:pPr>
      <w:r w:rsidRPr="009D6951">
        <w:rPr>
          <w:rFonts w:ascii="Calibri" w:eastAsia="MS UI Gothic" w:hAnsi="Calibri" w:cs="KFGQPC Uthman Taha Naskh"/>
          <w:sz w:val="28"/>
          <w:szCs w:val="28"/>
          <w:rtl/>
          <w:lang w:bidi="ar-EG"/>
        </w:rPr>
        <w:t>]</w:t>
      </w:r>
      <w:r w:rsidRPr="009D6951">
        <w:rPr>
          <w:rFonts w:ascii="Calibri" w:eastAsia="MS UI Gothic" w:hAnsi="Calibri" w:cs="KFGQPC Uthman Taha Naskh"/>
          <w:sz w:val="28"/>
          <w:szCs w:val="28"/>
        </w:rPr>
        <w:t xml:space="preserve">  </w:t>
      </w:r>
      <w:r>
        <w:rPr>
          <w:rFonts w:ascii="Calibri" w:eastAsia="MS UI Gothic" w:hAnsi="Calibri" w:cs="KFGQPC Uthman Taha Naskh"/>
          <w:sz w:val="28"/>
          <w:szCs w:val="28"/>
        </w:rPr>
        <w:t xml:space="preserve">Shqip – Albanian – </w:t>
      </w:r>
      <w:r>
        <w:rPr>
          <w:rFonts w:ascii="Calibri" w:eastAsia="MS UI Gothic" w:hAnsi="Calibri" w:cs="KFGQPC Uthman Taha Naskh" w:hint="cs"/>
          <w:sz w:val="28"/>
          <w:szCs w:val="28"/>
          <w:rtl/>
        </w:rPr>
        <w:t>ألباني</w:t>
      </w:r>
      <w:r w:rsidRPr="009D6951">
        <w:rPr>
          <w:rFonts w:ascii="Calibri" w:eastAsia="MS UI Gothic" w:hAnsi="Calibri" w:cs="KFGQPC Uthman Taha Naskh"/>
          <w:sz w:val="28"/>
          <w:szCs w:val="28"/>
        </w:rPr>
        <w:t xml:space="preserve"> </w:t>
      </w:r>
      <w:r w:rsidRPr="009D6951">
        <w:rPr>
          <w:rFonts w:ascii="Calibri" w:eastAsia="MS UI Gothic" w:hAnsi="Calibri" w:cs="KFGQPC Uthman Taha Naskh"/>
          <w:sz w:val="28"/>
          <w:szCs w:val="28"/>
          <w:rtl/>
          <w:lang w:bidi="ar-EG"/>
        </w:rPr>
        <w:t>[</w:t>
      </w:r>
    </w:p>
    <w:p w:rsidR="0007535D" w:rsidRPr="00757613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</w:rPr>
      </w:pPr>
    </w:p>
    <w:p w:rsidR="0007535D" w:rsidRPr="004D2492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color w:val="auto"/>
          <w:sz w:val="32"/>
          <w:szCs w:val="32"/>
        </w:rPr>
      </w:pPr>
      <w:r>
        <w:rPr>
          <w:rStyle w:val="divx11"/>
          <w:rFonts w:ascii="Calibri" w:hAnsi="Calibri" w:cs="KFGQPC Uthman Taha Naskh"/>
          <w:color w:val="auto"/>
          <w:sz w:val="32"/>
          <w:szCs w:val="32"/>
        </w:rPr>
        <w:t>Fehd ibn Salim Bahmam</w:t>
      </w:r>
    </w:p>
    <w:p w:rsidR="0007535D" w:rsidRPr="00757613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  <w:rtl/>
        </w:rPr>
      </w:pPr>
    </w:p>
    <w:p w:rsidR="0007535D" w:rsidRPr="009D6951" w:rsidRDefault="0007535D" w:rsidP="0007535D">
      <w:pPr>
        <w:bidi w:val="0"/>
        <w:spacing w:before="150" w:after="150" w:line="284" w:lineRule="atLeast"/>
        <w:jc w:val="center"/>
        <w:rPr>
          <w:rFonts w:ascii="Calibri" w:hAnsi="Calibri" w:cs="KFGQPC Uthman Taha Naskh"/>
          <w:sz w:val="32"/>
          <w:szCs w:val="32"/>
          <w:lang w:val="tr-TR"/>
        </w:rPr>
      </w:pPr>
    </w:p>
    <w:p w:rsidR="0007535D" w:rsidRPr="00180C91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Calibri" w:hAnsi="Calibri" w:cs="KFGQPC Uthman Taha Naskh"/>
          <w:b/>
          <w:bCs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Fonts w:ascii="Calibri" w:hAnsi="Calibri" w:cs="KFGQPC Uthman Taha Naskh"/>
          <w:sz w:val="32"/>
          <w:szCs w:val="32"/>
          <w:lang w:val="tr-TR"/>
        </w:rPr>
      </w:pPr>
      <w:r>
        <w:rPr>
          <w:rStyle w:val="divx11"/>
          <w:rFonts w:ascii="Calibri" w:hAnsi="Calibri" w:cs="KFGQPC Uthman Taha Naskh"/>
          <w:b/>
          <w:bCs/>
          <w:sz w:val="32"/>
          <w:szCs w:val="32"/>
        </w:rPr>
        <w:t>Përktheu</w:t>
      </w:r>
      <w:r w:rsidRPr="00414AE6">
        <w:rPr>
          <w:rStyle w:val="divx11"/>
          <w:rFonts w:ascii="Calibri" w:eastAsia="MS UI Gothic" w:hAnsi="Calibri" w:cs="KFGQPC Uthman Taha Naskh"/>
          <w:b/>
          <w:bCs/>
          <w:sz w:val="32"/>
          <w:szCs w:val="32"/>
        </w:rPr>
        <w:t xml:space="preserve">: </w:t>
      </w:r>
      <w:r>
        <w:rPr>
          <w:rFonts w:ascii="Calibri" w:hAnsi="Calibri" w:cs="KFGQPC Uthman Taha Naskh"/>
          <w:sz w:val="32"/>
          <w:szCs w:val="32"/>
          <w:lang w:val="tr-TR"/>
        </w:rPr>
        <w:t>Jusuf Kastrati</w:t>
      </w:r>
    </w:p>
    <w:p w:rsidR="0007535D" w:rsidRDefault="0007535D" w:rsidP="0007535D">
      <w:pPr>
        <w:bidi w:val="0"/>
        <w:spacing w:before="150" w:after="150" w:line="284" w:lineRule="atLeast"/>
        <w:jc w:val="center"/>
        <w:rPr>
          <w:rFonts w:ascii="Calibri" w:hAnsi="Calibri" w:cs="KFGQPC Uthman Taha Naskh"/>
          <w:b/>
          <w:bCs/>
          <w:color w:val="943634"/>
          <w:sz w:val="32"/>
          <w:szCs w:val="32"/>
          <w:rtl/>
          <w:lang w:val="tr-TR"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Fonts w:ascii="Calibri" w:hAnsi="Calibri" w:cs="KFGQPC Uthman Taha Naskh"/>
          <w:b/>
          <w:bCs/>
          <w:sz w:val="32"/>
          <w:szCs w:val="32"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</w:rPr>
      </w:pPr>
    </w:p>
    <w:p w:rsidR="0007535D" w:rsidRPr="00F37DE9" w:rsidRDefault="0007535D" w:rsidP="0007535D">
      <w:pPr>
        <w:bidi w:val="0"/>
        <w:jc w:val="center"/>
        <w:rPr>
          <w:rFonts w:ascii="Calibri" w:hAnsi="Calibri" w:cs="KFGQPC Uthman Taha Naskh"/>
          <w:color w:val="800000"/>
          <w:sz w:val="28"/>
          <w:szCs w:val="28"/>
          <w:rtl/>
          <w:lang w:val="es-AR"/>
        </w:rPr>
      </w:pPr>
      <w:r>
        <w:rPr>
          <w:rFonts w:ascii="Calibri" w:hAnsi="Calibri" w:cs="KFGQPC Uthman Taha Naskh"/>
          <w:sz w:val="28"/>
          <w:szCs w:val="28"/>
        </w:rPr>
        <w:t>2015-1436</w:t>
      </w:r>
    </w:p>
    <w:p w:rsidR="0007535D" w:rsidRDefault="0007535D" w:rsidP="0007535D">
      <w:pPr>
        <w:bidi w:val="0"/>
        <w:spacing w:before="150" w:after="150" w:line="284" w:lineRule="atLeast"/>
        <w:ind w:firstLine="360"/>
        <w:jc w:val="center"/>
        <w:rPr>
          <w:rFonts w:ascii="Calibri" w:hAnsi="Calibri" w:cs="KFGQPC Uthman Taha Naskh"/>
          <w:b/>
          <w:bCs/>
          <w:color w:val="800000"/>
          <w:sz w:val="32"/>
          <w:szCs w:val="32"/>
          <w:rtl/>
          <w:lang w:bidi="ar-EG"/>
        </w:rPr>
      </w:pPr>
      <w:r w:rsidRPr="00753336">
        <w:rPr>
          <w:rFonts w:ascii="Calibri" w:hAnsi="Calibri" w:cs="KFGQPC Uthman Taha Naskh"/>
          <w:b/>
          <w:bCs/>
          <w:noProof/>
          <w:color w:val="800000"/>
          <w:sz w:val="40"/>
          <w:szCs w:val="40"/>
          <w:lang w:val="en-US"/>
        </w:rPr>
        <w:drawing>
          <wp:inline distT="0" distB="0" distL="0" distR="0" wp14:anchorId="63A67FB6" wp14:editId="057E4908">
            <wp:extent cx="2209800" cy="361950"/>
            <wp:effectExtent l="0" t="0" r="0" b="0"/>
            <wp:docPr id="2" name="Picture 2" descr="C:\Users\Ibn Radman\Desktop\logo_islamhouse.t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bn Radman\Desktop\logo_islamhous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5D" w:rsidRPr="007E3FD4" w:rsidRDefault="0007535D" w:rsidP="0007535D">
      <w:pPr>
        <w:tabs>
          <w:tab w:val="left" w:pos="-3150"/>
        </w:tabs>
        <w:jc w:val="center"/>
        <w:rPr>
          <w:rFonts w:ascii="Traditional Arabic" w:eastAsia="MS UI Gothic" w:hAnsi="Traditional Arabic"/>
          <w:color w:val="auto"/>
          <w:sz w:val="56"/>
          <w:szCs w:val="56"/>
        </w:rPr>
      </w:pPr>
      <w:r w:rsidRPr="007E3FD4">
        <w:rPr>
          <w:rFonts w:ascii="Traditional Arabic" w:hAnsi="Traditional Arabic"/>
          <w:sz w:val="56"/>
          <w:szCs w:val="56"/>
          <w:rtl/>
        </w:rPr>
        <w:lastRenderedPageBreak/>
        <w:t xml:space="preserve"> ﴿ </w:t>
      </w:r>
      <w:r>
        <w:rPr>
          <w:rFonts w:asciiTheme="minorHAnsi" w:hAnsiTheme="minorHAnsi" w:hint="cs"/>
          <w:sz w:val="56"/>
          <w:szCs w:val="56"/>
          <w:rtl/>
          <w:lang w:val="bs-Latn-BA"/>
        </w:rPr>
        <w:t>أعظم نعمة في الوجود</w:t>
      </w:r>
      <w:r w:rsidRPr="007E3FD4">
        <w:rPr>
          <w:rFonts w:ascii="Traditional Arabic" w:hAnsi="Traditional Arabic"/>
          <w:color w:val="auto"/>
          <w:sz w:val="56"/>
          <w:szCs w:val="56"/>
          <w:rtl/>
        </w:rPr>
        <w:t xml:space="preserve"> </w:t>
      </w:r>
      <w:r w:rsidRPr="007E3FD4">
        <w:rPr>
          <w:rFonts w:ascii="Traditional Arabic" w:hAnsi="Traditional Arabic"/>
          <w:sz w:val="56"/>
          <w:szCs w:val="56"/>
          <w:rtl/>
        </w:rPr>
        <w:t>﴾</w:t>
      </w:r>
    </w:p>
    <w:p w:rsidR="0007535D" w:rsidRPr="007E3FD4" w:rsidRDefault="0007535D" w:rsidP="0007535D">
      <w:pPr>
        <w:tabs>
          <w:tab w:val="left" w:pos="-3150"/>
        </w:tabs>
        <w:jc w:val="center"/>
        <w:rPr>
          <w:rFonts w:ascii="Traditional Arabic" w:hAnsi="Traditional Arabic"/>
          <w:b/>
          <w:bCs/>
          <w:sz w:val="36"/>
        </w:rPr>
      </w:pPr>
      <w:r w:rsidRPr="007E3FD4">
        <w:rPr>
          <w:rFonts w:ascii="Traditional Arabic" w:hAnsi="Traditional Arabic"/>
          <w:sz w:val="28"/>
          <w:szCs w:val="28"/>
        </w:rPr>
        <w:t xml:space="preserve"> </w:t>
      </w:r>
      <w:r w:rsidRPr="007E3FD4">
        <w:rPr>
          <w:rFonts w:ascii="Traditional Arabic" w:hAnsi="Traditional Arabic"/>
          <w:sz w:val="36"/>
          <w:rtl/>
        </w:rPr>
        <w:t>« باللغة الألبانية »</w:t>
      </w: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  <w:rtl/>
        </w:rPr>
      </w:pPr>
    </w:p>
    <w:p w:rsidR="0007535D" w:rsidRPr="007E3FD4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</w:rPr>
      </w:pPr>
    </w:p>
    <w:p w:rsidR="0007535D" w:rsidRPr="007E3FD4" w:rsidRDefault="0007535D" w:rsidP="0007535D">
      <w:pPr>
        <w:spacing w:before="150" w:after="150" w:line="284" w:lineRule="atLeast"/>
        <w:jc w:val="center"/>
        <w:rPr>
          <w:rStyle w:val="divx11"/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</w:rPr>
        <w:t>فهد بن سالم باهمام</w:t>
      </w:r>
    </w:p>
    <w:p w:rsidR="0007535D" w:rsidRPr="007E3FD4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  <w:rtl/>
        </w:rPr>
      </w:pPr>
    </w:p>
    <w:p w:rsidR="0007535D" w:rsidRPr="007E3FD4" w:rsidRDefault="0007535D" w:rsidP="0007535D">
      <w:pPr>
        <w:bidi w:val="0"/>
        <w:spacing w:before="150" w:after="150" w:line="284" w:lineRule="atLeast"/>
        <w:jc w:val="center"/>
        <w:rPr>
          <w:rStyle w:val="divx11"/>
          <w:rFonts w:ascii="Traditional Arabic" w:hAnsi="Traditional Arabic"/>
          <w:b/>
          <w:bCs/>
          <w:sz w:val="40"/>
          <w:szCs w:val="40"/>
          <w:rtl/>
        </w:rPr>
      </w:pPr>
    </w:p>
    <w:p w:rsidR="0007535D" w:rsidRPr="007E3FD4" w:rsidRDefault="0007535D" w:rsidP="0007535D">
      <w:pPr>
        <w:spacing w:before="150" w:after="150" w:line="284" w:lineRule="atLeast"/>
        <w:jc w:val="center"/>
        <w:rPr>
          <w:rFonts w:ascii="Traditional Arabic" w:hAnsi="Traditional Arabic"/>
          <w:sz w:val="40"/>
          <w:szCs w:val="40"/>
          <w:lang w:bidi="ar-EG"/>
        </w:rPr>
      </w:pPr>
      <w:r w:rsidRPr="007E3FD4">
        <w:rPr>
          <w:rFonts w:ascii="Traditional Arabic" w:hAnsi="Traditional Arabic"/>
          <w:sz w:val="40"/>
          <w:szCs w:val="40"/>
          <w:rtl/>
        </w:rPr>
        <w:t xml:space="preserve">ترجمة: </w:t>
      </w:r>
      <w:r>
        <w:rPr>
          <w:rFonts w:ascii="Traditional Arabic" w:hAnsi="Traditional Arabic" w:hint="cs"/>
          <w:sz w:val="40"/>
          <w:szCs w:val="40"/>
          <w:rtl/>
        </w:rPr>
        <w:t>يوسف كاستراتي</w:t>
      </w: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</w:rPr>
      </w:pPr>
    </w:p>
    <w:p w:rsidR="0031406F" w:rsidRDefault="0031406F" w:rsidP="0031406F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</w:rPr>
      </w:pPr>
    </w:p>
    <w:p w:rsidR="0031406F" w:rsidRDefault="0031406F" w:rsidP="0031406F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  <w:rtl/>
        </w:rPr>
      </w:pPr>
    </w:p>
    <w:p w:rsidR="0007535D" w:rsidRDefault="0007535D" w:rsidP="0007535D">
      <w:pPr>
        <w:bidi w:val="0"/>
        <w:spacing w:before="150" w:after="150" w:line="284" w:lineRule="atLeast"/>
        <w:jc w:val="center"/>
        <w:rPr>
          <w:rStyle w:val="divx11"/>
          <w:sz w:val="40"/>
          <w:szCs w:val="40"/>
          <w:rtl/>
        </w:rPr>
      </w:pPr>
    </w:p>
    <w:p w:rsidR="0007535D" w:rsidRPr="00F37DE9" w:rsidRDefault="00C26069" w:rsidP="0007535D">
      <w:pPr>
        <w:bidi w:val="0"/>
        <w:jc w:val="center"/>
        <w:rPr>
          <w:rFonts w:ascii="Calibri" w:hAnsi="Calibri" w:cs="KFGQPC Uthman Taha Naskh"/>
          <w:color w:val="800000"/>
          <w:sz w:val="28"/>
          <w:szCs w:val="28"/>
          <w:rtl/>
          <w:lang w:val="es-AR"/>
        </w:rPr>
      </w:pPr>
      <w:r>
        <w:rPr>
          <w:rFonts w:ascii="Calibri" w:hAnsi="Calibri" w:cs="KFGQPC Uthman Taha Naskh"/>
          <w:sz w:val="28"/>
          <w:szCs w:val="28"/>
        </w:rPr>
        <w:t>2015-1436</w:t>
      </w:r>
    </w:p>
    <w:p w:rsidR="0007535D" w:rsidRDefault="0007535D" w:rsidP="0007535D">
      <w:pPr>
        <w:bidi w:val="0"/>
        <w:spacing w:before="150" w:after="150" w:line="284" w:lineRule="atLeast"/>
        <w:ind w:firstLine="360"/>
        <w:jc w:val="center"/>
        <w:rPr>
          <w:rFonts w:ascii="Calibri" w:hAnsi="Calibri" w:cs="KFGQPC Uthman Taha Naskh"/>
          <w:b/>
          <w:bCs/>
          <w:color w:val="800000"/>
          <w:sz w:val="32"/>
          <w:szCs w:val="32"/>
          <w:rtl/>
          <w:lang w:bidi="ar-EG"/>
        </w:rPr>
      </w:pPr>
      <w:r w:rsidRPr="00753336">
        <w:rPr>
          <w:rFonts w:ascii="Calibri" w:hAnsi="Calibri" w:cs="KFGQPC Uthman Taha Naskh"/>
          <w:b/>
          <w:bCs/>
          <w:noProof/>
          <w:color w:val="800000"/>
          <w:sz w:val="40"/>
          <w:szCs w:val="40"/>
          <w:lang w:val="en-US"/>
        </w:rPr>
        <w:drawing>
          <wp:inline distT="0" distB="0" distL="0" distR="0" wp14:anchorId="58C45833" wp14:editId="7F788161">
            <wp:extent cx="2209800" cy="361950"/>
            <wp:effectExtent l="0" t="0" r="0" b="0"/>
            <wp:docPr id="1" name="Picture 1" descr="C:\Users\Ibn Radman\Desktop\logo_islamhouse.t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bn Radman\Desktop\logo_islamhous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5D" w:rsidRDefault="0007535D">
      <w:pPr>
        <w:bidi w:val="0"/>
        <w:spacing w:after="160" w:line="259" w:lineRule="auto"/>
      </w:pPr>
      <w:r>
        <w:br w:type="page"/>
      </w:r>
    </w:p>
    <w:p w:rsidR="0007535D" w:rsidRPr="00175D7B" w:rsidRDefault="0007535D" w:rsidP="0007535D">
      <w:pPr>
        <w:bidi w:val="0"/>
        <w:spacing w:after="160" w:line="360" w:lineRule="auto"/>
        <w:rPr>
          <w:b/>
          <w:bCs/>
          <w:szCs w:val="24"/>
        </w:rPr>
      </w:pPr>
      <w:r w:rsidRPr="00175D7B">
        <w:rPr>
          <w:b/>
          <w:bCs/>
          <w:szCs w:val="24"/>
        </w:rPr>
        <w:lastRenderedPageBreak/>
        <w:t>Dhuntia më e madhe që ekziston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Allahu e begatoi njeriun me dhunti të panumërta, të cilat i shfrytëzon vazhdimisht çdonjëri nga ne. Allahu i Lartësuar na begatoi me të parë dhe të dëgjuar në kohën kur shumë njerëz u privuan nga këto gjëra. Njëkohësisht, Ai na b</w:t>
      </w:r>
      <w:bookmarkStart w:id="0" w:name="_GoBack"/>
      <w:bookmarkEnd w:id="0"/>
      <w:r w:rsidRPr="00175D7B">
        <w:rPr>
          <w:szCs w:val="24"/>
        </w:rPr>
        <w:t xml:space="preserve">egatoi edhe me mendje, shëndet, pasuri dhe familje, madje Ai për ne nënshtroi tërë gjithësinë; diellin, qiellin, tokën dhe të gjitha krijesat që gjenden në të. I Madhërishmi thotë në Kur’an: 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b/>
          <w:bCs/>
          <w:szCs w:val="24"/>
        </w:rPr>
        <w:t>“Nëse do t’i numëronit mirësitë e Allahut, nuk do të mund t’i llogarisnit ato.”</w:t>
      </w:r>
      <w:r w:rsidRPr="00175D7B">
        <w:rPr>
          <w:szCs w:val="24"/>
        </w:rPr>
        <w:t xml:space="preserve"> (En-Nahl: 18)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Mirëpo, me mbarimin e jetës sonë të shkurtër, të gjitha këto dhunti marrin fund... Mbetet vetëm një dhunti e cila kurrë nuk përfundon. Nëpërmjet kësaj dhuntie njeriu arrin lumturinë dhe qetësinë shpirtërore në këtë botë, por kjo nuk mbaron me kaq, ndikimi i saj vazhdon edhe në botën e amshueshme... kjo është dhuntia e udhëzimit në Islam, e cila njëherazi është edhe dhuntia më e madhe që Allahu ua jep robërve të Vet. Kjo është arsyeja pse Allahu e veçoi këtë mirësi në Kur’an, duke ia përshkruar atë Vetes së Tij. Ai thotë në Kur’an: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b/>
          <w:bCs/>
          <w:szCs w:val="24"/>
        </w:rPr>
        <w:t>“Sot jua përsosa fenë tuaj, e plotësova dhuntinë Time ndaj jush dhe zgjodha që Islami të jetë feja juaj.”</w:t>
      </w:r>
      <w:r w:rsidRPr="00175D7B">
        <w:rPr>
          <w:szCs w:val="24"/>
        </w:rPr>
        <w:t xml:space="preserve"> (El-Maide:3)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Pa më thoni, a ka dhunti më të madhe për njeriun sesa që Allahu ta nxjerrë atë nga errësirat e ta fusë në Dritën e Tij, duke e udhëzuar atë në fenë të cilën Ai e zgjodhi për të, në mënyrë që ta jetësojë kështu qëllimin për të cilin është krijuar, e që është adhurimi i Allahut! Vetëm nëpërmjet saj njeriu arrin lumturinë e kësaj bote dhe shpërblimin madhështor të botës tjetër.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A ka begati më të madhe për ne sesa që Allahu të na ngritë dhe të na zgjedhë t’i takojmë umetit më të mirë të njerëzimit, i cili bart fjalën “La ilahe il-la Allah” (Nuk ka Zot që meriton të adhurohet përveç Allahut) me të cilën erdhën të gjithë pejgamberët, paqja dhe lavdërimi i Allahut qofshin mbi ta.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Kur pandehën disa të paditur se ata i kishin bërë favor Islamit që e kishin pranuar atë dhe filluan t’ia përmendin këtë gjë të Dërguarit të Allahut, Muhamedit, paqja dhe lavdërimi i Allahut qofshin mbi të, ai ua tërhoqi vërejtjen atyre duke ua bërë të ditur se e tërë mirësia i takon Allahut që ua bëri të lehtë udhëzimin në këtë fe, siç thotë Allahu në Kur’anin famëmadh:</w:t>
      </w:r>
    </w:p>
    <w:p w:rsidR="0007535D" w:rsidRPr="00175D7B" w:rsidRDefault="0007535D" w:rsidP="0007535D">
      <w:pPr>
        <w:tabs>
          <w:tab w:val="left" w:pos="2430"/>
        </w:tabs>
        <w:bidi w:val="0"/>
        <w:spacing w:line="360" w:lineRule="auto"/>
        <w:jc w:val="both"/>
        <w:rPr>
          <w:b/>
          <w:bCs/>
          <w:szCs w:val="24"/>
        </w:rPr>
      </w:pPr>
      <w:r w:rsidRPr="00175D7B">
        <w:rPr>
          <w:b/>
          <w:bCs/>
          <w:szCs w:val="24"/>
        </w:rPr>
        <w:t xml:space="preserve">Ata e quajnë si favor për ty që kanë pranuar Islamin. Thuaju: “Mos e quani si favor për mua se keni pranuar Islamin; përkundrazi, Allahu ju ka dhuruar mirësi dhe ju ka udhëzuar në besim, nëse ajo që thoni është e vërtetë!” </w:t>
      </w:r>
      <w:r w:rsidRPr="00175D7B">
        <w:rPr>
          <w:szCs w:val="24"/>
        </w:rPr>
        <w:t>(El-Huxhuratë:17)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lastRenderedPageBreak/>
        <w:t>Dhuntitë e Allahut janë të shumta, mirëpo megjithatë, dhuntia e vetme të cilën Allahu e përmendi në Kur’an si begati të Tij ndaj nesh është Islami dhe udhëzimi që ta adhurojmë vetëm Allahun dhe ta njësojmë Atë.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Por, për ta forcuar këtë dhunti dhe për të mos e humbur atë, patjetër duhet ta falënderojmë Allahun për të, sepse Ai thotë në Kur’an: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“</w:t>
      </w:r>
      <w:r w:rsidRPr="00175D7B">
        <w:rPr>
          <w:b/>
          <w:bCs/>
          <w:szCs w:val="24"/>
        </w:rPr>
        <w:t xml:space="preserve">Nëse tregoheni mirënjohës, Unë do t’jua shtoj edhe më shumë begatitë e Mia; por, nëse ju mohoni mirësitë e Mia, (atëherë dijeni se) dënimi Im është i rëndë”. </w:t>
      </w:r>
      <w:r w:rsidRPr="00175D7B">
        <w:rPr>
          <w:szCs w:val="24"/>
        </w:rPr>
        <w:t>(Ibrahim:7)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Mirëpo, si duhet ta falënderojmë Zotin për këtë mirësi?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Falënderimi për këtë mirësi bëhet në dy mënyra: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1. Duke u kapur fort për kësaj feje dhe njëherazi duke qenë i qëndrueshëm ndaj sprovave që të godasin në të.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2. Duke mësuar Islamin dhe duke i ftuar njerëzit në të me urtësi dhe argumente të qarta.</w:t>
      </w: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</w:p>
    <w:p w:rsidR="0007535D" w:rsidRPr="00175D7B" w:rsidRDefault="0007535D" w:rsidP="0007535D">
      <w:pPr>
        <w:bidi w:val="0"/>
        <w:spacing w:line="360" w:lineRule="auto"/>
        <w:jc w:val="both"/>
        <w:rPr>
          <w:szCs w:val="24"/>
        </w:rPr>
      </w:pPr>
      <w:r w:rsidRPr="00175D7B">
        <w:rPr>
          <w:szCs w:val="24"/>
        </w:rPr>
        <w:t>Marrë nga libri: “Delijlu’l-muslim el-xhedijd” i autorit Fehd ibën Salim Bahmam</w:t>
      </w:r>
    </w:p>
    <w:p w:rsidR="00B73686" w:rsidRPr="0007535D" w:rsidRDefault="0007535D" w:rsidP="0007535D">
      <w:pPr>
        <w:bidi w:val="0"/>
        <w:spacing w:line="276" w:lineRule="auto"/>
        <w:jc w:val="both"/>
      </w:pPr>
      <w:r w:rsidRPr="00175D7B">
        <w:rPr>
          <w:szCs w:val="24"/>
        </w:rPr>
        <w:t>Përktheu: J</w:t>
      </w:r>
      <w:r>
        <w:rPr>
          <w:szCs w:val="24"/>
        </w:rPr>
        <w:t>usuf H. Kastrati</w:t>
      </w:r>
    </w:p>
    <w:sectPr w:rsidR="00B73686" w:rsidRPr="0007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D"/>
    <w:rsid w:val="0007535D"/>
    <w:rsid w:val="0031406F"/>
    <w:rsid w:val="00B73686"/>
    <w:rsid w:val="00C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42B14-97F1-414C-9E52-032FD78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5D"/>
    <w:pPr>
      <w:bidi/>
      <w:spacing w:after="0" w:line="240" w:lineRule="auto"/>
    </w:pPr>
    <w:rPr>
      <w:rFonts w:ascii="Times New Roman" w:eastAsia="Times New Roman" w:hAnsi="Times New Roman" w:cs="Traditional Arabic"/>
      <w:color w:val="000000"/>
      <w:sz w:val="24"/>
      <w:szCs w:val="3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x11">
    <w:name w:val="divx11"/>
    <w:basedOn w:val="DefaultParagraphFont"/>
    <w:rsid w:val="0007535D"/>
    <w:rPr>
      <w:color w:val="8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slamhou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3036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3661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Dhuntia më e madhe që ekziston _x000d_</dc:title>
  <dc:subject>Dhuntia më e madhe që ekziston _x000d_</dc:subject>
  <dc:creator>Fehd ibn Salim Bahmam_x000d_</dc:creator>
  <cp:keywords>Dhuntia më e madhe që ekziston _x000d_</cp:keywords>
  <dc:description>Dhuntia më e madhe që ekziston _x000d_</dc:description>
  <cp:lastModifiedBy>elhashemy</cp:lastModifiedBy>
  <cp:revision>3</cp:revision>
  <cp:lastPrinted>2015-06-01T08:45:00Z</cp:lastPrinted>
  <dcterms:created xsi:type="dcterms:W3CDTF">2015-06-01T08:44:00Z</dcterms:created>
  <dcterms:modified xsi:type="dcterms:W3CDTF">2015-06-06T10:57:00Z</dcterms:modified>
  <cp:category/>
</cp:coreProperties>
</file>