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2E5" w:rsidRPr="00755C1B" w:rsidRDefault="00DA02E5" w:rsidP="00DA02E5">
      <w:pPr>
        <w:bidi w:val="0"/>
        <w:jc w:val="center"/>
        <w:rPr>
          <w:rFonts w:ascii="Calibri" w:eastAsia="SimHei" w:hAnsi="Calibri"/>
          <w:color w:val="800000"/>
          <w:sz w:val="28"/>
          <w:szCs w:val="22"/>
          <w:rtl/>
          <w:lang w:eastAsia="zh-CN" w:bidi="ar-EG"/>
        </w:rPr>
      </w:pPr>
      <w:bookmarkStart w:id="0" w:name="OLE_LINK1"/>
      <w:bookmarkStart w:id="1" w:name="OLE_LINK2"/>
    </w:p>
    <w:p w:rsidR="00C07B65" w:rsidRPr="0062783D" w:rsidRDefault="002903F1" w:rsidP="00300E8D">
      <w:pPr>
        <w:bidi w:val="0"/>
        <w:jc w:val="center"/>
        <w:rPr>
          <w:rFonts w:ascii="SimHei" w:eastAsia="SimHei" w:hAnsi="SimHei"/>
          <w:b/>
          <w:bCs/>
          <w:color w:val="800000"/>
          <w:sz w:val="28"/>
          <w:szCs w:val="28"/>
          <w:lang w:eastAsia="zh-CN"/>
        </w:rPr>
      </w:pPr>
      <w:r w:rsidRPr="002903F1">
        <w:rPr>
          <w:rFonts w:hint="eastAsia"/>
          <w:b/>
          <w:bCs/>
          <w:color w:val="943634" w:themeColor="accent2" w:themeShade="BF"/>
          <w:sz w:val="28"/>
          <w:szCs w:val="28"/>
          <w:lang w:eastAsia="zh-CN"/>
        </w:rPr>
        <w:t>应当寻见新月，不应用天文计算</w:t>
      </w:r>
      <w:bookmarkStart w:id="2" w:name="_GoBack"/>
      <w:bookmarkEnd w:id="2"/>
      <w:r w:rsidRPr="002903F1">
        <w:rPr>
          <w:rFonts w:hint="eastAsia"/>
          <w:b/>
          <w:bCs/>
          <w:color w:val="943634" w:themeColor="accent2" w:themeShade="BF"/>
          <w:sz w:val="28"/>
          <w:szCs w:val="28"/>
          <w:lang w:eastAsia="zh-CN"/>
        </w:rPr>
        <w:t>法</w:t>
      </w:r>
    </w:p>
    <w:bookmarkEnd w:id="0"/>
    <w:bookmarkEnd w:id="1"/>
    <w:p w:rsidR="00777A72" w:rsidRPr="00FF4CDC" w:rsidRDefault="00777A72" w:rsidP="00777A72">
      <w:pPr>
        <w:bidi w:val="0"/>
        <w:jc w:val="center"/>
        <w:rPr>
          <w:rFonts w:ascii="Calibri" w:hAnsi="Calibri" w:cs="KFGQPC Uthman Taha Naskh"/>
          <w:sz w:val="22"/>
          <w:szCs w:val="22"/>
          <w:lang w:eastAsia="zh-CN" w:bidi="ar-EG"/>
        </w:rPr>
      </w:pPr>
      <w:r w:rsidRPr="00FF4CDC">
        <w:rPr>
          <w:rFonts w:cs="KFGQPC Uthman Taha Naskh" w:hint="cs"/>
          <w:sz w:val="22"/>
          <w:szCs w:val="22"/>
          <w:rtl/>
        </w:rPr>
        <w:t>]</w:t>
      </w:r>
      <w:r w:rsidRPr="00FF4CDC">
        <w:rPr>
          <w:rFonts w:cs="KFGQPC Uthman Taha Naskh" w:hint="eastAsia"/>
          <w:sz w:val="22"/>
          <w:szCs w:val="22"/>
          <w:lang w:eastAsia="zh-CN"/>
        </w:rPr>
        <w:t xml:space="preserve"> </w:t>
      </w:r>
      <w:r w:rsidRPr="00755C1B">
        <w:rPr>
          <w:rFonts w:ascii="Calibri" w:eastAsia="MS UI Gothic" w:hAnsi="Calibri" w:cs="KFGQPC Uthman Taha Naskh"/>
          <w:b/>
          <w:bCs/>
          <w:sz w:val="22"/>
          <w:szCs w:val="22"/>
          <w:lang w:eastAsia="zh-CN" w:bidi="ar-EG"/>
        </w:rPr>
        <w:t>中文</w:t>
      </w:r>
      <w:r w:rsidRPr="00FF4CDC">
        <w:rPr>
          <w:rFonts w:ascii="Calibri" w:eastAsia="MS UI Gothic" w:hAnsi="Calibri" w:cs="KFGQPC Uthman Taha Naskh"/>
          <w:sz w:val="22"/>
          <w:szCs w:val="22"/>
          <w:lang w:eastAsia="zh-CN" w:bidi="ar-EG"/>
        </w:rPr>
        <w:t xml:space="preserve"> –</w:t>
      </w:r>
      <w:r w:rsidRPr="00FF4CDC">
        <w:rPr>
          <w:rFonts w:ascii="Calibri" w:hAnsi="Calibri" w:cs="KFGQPC Uthman Taha Naskh" w:hint="eastAsia"/>
          <w:sz w:val="22"/>
          <w:szCs w:val="22"/>
          <w:lang w:eastAsia="zh-CN" w:bidi="ar-EG"/>
        </w:rPr>
        <w:t xml:space="preserve">  </w:t>
      </w:r>
      <w:r w:rsidRPr="00FF4CDC">
        <w:rPr>
          <w:rFonts w:ascii="Calibri" w:eastAsia="MS UI Gothic" w:hAnsi="Calibri" w:cs="KFGQPC Uthman Taha Naskh"/>
          <w:sz w:val="22"/>
          <w:szCs w:val="22"/>
          <w:lang w:eastAsia="zh-CN" w:bidi="ar-EG"/>
        </w:rPr>
        <w:t xml:space="preserve">Chinese - </w:t>
      </w:r>
      <w:r w:rsidRPr="00FF4CDC">
        <w:rPr>
          <w:rFonts w:ascii="Calibri" w:eastAsia="MS UI Gothic" w:hAnsi="Calibri" w:cs="KFGQPC Uthman Taha Naskh"/>
          <w:sz w:val="22"/>
          <w:szCs w:val="22"/>
          <w:rtl/>
          <w:lang w:bidi="ar-EG"/>
        </w:rPr>
        <w:t>صيني</w:t>
      </w:r>
      <w:r w:rsidRPr="00FF4CDC">
        <w:rPr>
          <w:rFonts w:ascii="Calibri" w:eastAsia="MS UI Gothic" w:hAnsi="Calibri" w:cs="KFGQPC Uthman Taha Naskh"/>
          <w:sz w:val="22"/>
          <w:szCs w:val="22"/>
          <w:lang w:eastAsia="zh-CN" w:bidi="ar-EG"/>
        </w:rPr>
        <w:t xml:space="preserve"> ]</w:t>
      </w:r>
    </w:p>
    <w:p w:rsidR="00C07B65" w:rsidRDefault="00C07B65" w:rsidP="00C07B65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2"/>
          <w:szCs w:val="22"/>
          <w:lang w:eastAsia="zh-CN"/>
        </w:rPr>
      </w:pPr>
    </w:p>
    <w:p w:rsidR="00777A72" w:rsidRDefault="00777A72" w:rsidP="00777A72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2"/>
          <w:szCs w:val="22"/>
          <w:lang w:eastAsia="zh-CN"/>
        </w:rPr>
      </w:pPr>
    </w:p>
    <w:p w:rsidR="00755C1B" w:rsidRPr="008170A0" w:rsidRDefault="00755C1B" w:rsidP="00755C1B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2"/>
          <w:szCs w:val="22"/>
          <w:rtl/>
        </w:rPr>
      </w:pPr>
    </w:p>
    <w:p w:rsidR="00777A72" w:rsidRDefault="00C07B65" w:rsidP="00777A72">
      <w:pPr>
        <w:bidi w:val="0"/>
        <w:spacing w:before="150" w:after="150" w:line="284" w:lineRule="atLeast"/>
        <w:jc w:val="center"/>
        <w:rPr>
          <w:b/>
          <w:bCs/>
          <w:sz w:val="30"/>
          <w:lang w:eastAsia="zh-CN"/>
        </w:rPr>
      </w:pPr>
      <w:r w:rsidRPr="00755C1B">
        <w:rPr>
          <w:rFonts w:hint="eastAsia"/>
          <w:b/>
          <w:bCs/>
          <w:sz w:val="30"/>
          <w:lang w:eastAsia="zh-CN"/>
        </w:rPr>
        <w:t>筛海</w:t>
      </w:r>
      <w:r w:rsidRPr="00755C1B">
        <w:rPr>
          <w:rFonts w:hint="eastAsia"/>
          <w:b/>
          <w:bCs/>
          <w:sz w:val="30"/>
          <w:lang w:eastAsia="zh-CN"/>
        </w:rPr>
        <w:t xml:space="preserve">  </w:t>
      </w:r>
      <w:r w:rsidRPr="00755C1B">
        <w:rPr>
          <w:rFonts w:hint="eastAsia"/>
          <w:b/>
          <w:bCs/>
          <w:sz w:val="30"/>
          <w:lang w:eastAsia="zh-CN"/>
        </w:rPr>
        <w:t>穆罕穆德</w:t>
      </w:r>
      <w:r w:rsidRPr="00755C1B">
        <w:rPr>
          <w:rFonts w:hint="eastAsia"/>
          <w:b/>
          <w:bCs/>
          <w:sz w:val="30"/>
          <w:lang w:eastAsia="zh-CN"/>
        </w:rPr>
        <w:t>-</w:t>
      </w:r>
      <w:r w:rsidRPr="00755C1B">
        <w:rPr>
          <w:rFonts w:hint="eastAsia"/>
          <w:b/>
          <w:bCs/>
          <w:sz w:val="30"/>
          <w:lang w:eastAsia="zh-CN"/>
        </w:rPr>
        <w:t>萨利哈</w:t>
      </w:r>
      <w:r w:rsidRPr="00755C1B">
        <w:rPr>
          <w:rFonts w:hint="eastAsia"/>
          <w:b/>
          <w:bCs/>
          <w:sz w:val="30"/>
          <w:lang w:eastAsia="zh-CN"/>
        </w:rPr>
        <w:t>-</w:t>
      </w:r>
      <w:r w:rsidRPr="00755C1B">
        <w:rPr>
          <w:rFonts w:hint="eastAsia"/>
          <w:b/>
          <w:bCs/>
          <w:sz w:val="30"/>
          <w:lang w:eastAsia="zh-CN"/>
        </w:rPr>
        <w:t>麦基德</w:t>
      </w:r>
    </w:p>
    <w:p w:rsidR="002903F1" w:rsidRDefault="002903F1" w:rsidP="002903F1">
      <w:pPr>
        <w:bidi w:val="0"/>
        <w:spacing w:before="150" w:after="150" w:line="284" w:lineRule="atLeast"/>
        <w:jc w:val="center"/>
        <w:rPr>
          <w:b/>
          <w:bCs/>
          <w:sz w:val="30"/>
          <w:lang w:eastAsia="zh-CN"/>
        </w:rPr>
      </w:pPr>
      <w:r w:rsidRPr="00E91149">
        <w:rPr>
          <w:rStyle w:val="divx11"/>
          <w:rFonts w:ascii="Calibri" w:hAnsi="Calibri" w:cs="KFGQPC Uthman Taha Naskh" w:hint="eastAsia"/>
          <w:b/>
          <w:bCs/>
          <w:color w:val="auto"/>
          <w:sz w:val="32"/>
          <w:szCs w:val="32"/>
          <w:lang w:eastAsia="zh-CN"/>
        </w:rPr>
        <w:t>科学研究、法学、宣传教育常委会</w:t>
      </w:r>
    </w:p>
    <w:p w:rsidR="00F96CAF" w:rsidRDefault="00F96CAF" w:rsidP="002903F1">
      <w:pPr>
        <w:bidi w:val="0"/>
        <w:spacing w:before="150" w:after="150" w:line="284" w:lineRule="atLeast"/>
        <w:rPr>
          <w:rStyle w:val="divx11"/>
          <w:rFonts w:ascii="Calibri" w:hAnsi="Calibri" w:cs="KFGQPC Uthman Taha Naskh"/>
          <w:b/>
          <w:bCs/>
          <w:sz w:val="20"/>
          <w:szCs w:val="18"/>
          <w:lang w:eastAsia="zh-CN"/>
        </w:rPr>
      </w:pPr>
    </w:p>
    <w:p w:rsidR="00755C1B" w:rsidRPr="00755C1B" w:rsidRDefault="00755C1B" w:rsidP="00E91149">
      <w:pPr>
        <w:bidi w:val="0"/>
        <w:spacing w:before="150" w:after="150" w:line="284" w:lineRule="atLeast"/>
        <w:rPr>
          <w:rStyle w:val="divx11"/>
          <w:rFonts w:ascii="Calibri" w:hAnsi="Calibri" w:cs="KFGQPC Uthman Taha Naskh"/>
          <w:b/>
          <w:bCs/>
          <w:sz w:val="20"/>
          <w:szCs w:val="18"/>
          <w:rtl/>
          <w:lang w:eastAsia="zh-CN"/>
        </w:rPr>
      </w:pPr>
    </w:p>
    <w:p w:rsidR="00777A72" w:rsidRPr="00C07B65" w:rsidRDefault="00777A72" w:rsidP="002A6864">
      <w:pPr>
        <w:spacing w:line="240" w:lineRule="exact"/>
        <w:jc w:val="center"/>
        <w:rPr>
          <w:rFonts w:ascii="STXinwei" w:eastAsia="STXinwei" w:hAnsi="SimSun"/>
          <w:kern w:val="28"/>
          <w:sz w:val="18"/>
          <w:szCs w:val="18"/>
          <w:lang w:eastAsia="zh-CN"/>
        </w:rPr>
      </w:pPr>
      <w:r w:rsidRPr="00FF4CDC">
        <w:rPr>
          <w:rStyle w:val="divx11"/>
          <w:rFonts w:ascii="STXinwei" w:eastAsia="STXinwei" w:hAnsi="Calibri" w:cs="KFGQPC Uthman Taha Naskh" w:hint="eastAsia"/>
          <w:b/>
          <w:bCs/>
          <w:sz w:val="28"/>
          <w:szCs w:val="28"/>
          <w:lang w:eastAsia="zh-CN"/>
        </w:rPr>
        <w:t>翻译</w:t>
      </w:r>
      <w:r w:rsidR="002A6864">
        <w:rPr>
          <w:rStyle w:val="divx11"/>
          <w:rFonts w:hAnsi="Calibri" w:cs="KFGQPC Uthman Taha Naskh"/>
          <w:b/>
          <w:bCs/>
          <w:kern w:val="2"/>
          <w:sz w:val="18"/>
          <w:szCs w:val="18"/>
          <w:lang w:eastAsia="zh-CN"/>
        </w:rPr>
        <w:t>:</w:t>
      </w:r>
      <w:r w:rsidR="002A6864" w:rsidRPr="003B2CBA">
        <w:rPr>
          <w:rFonts w:cs="KFGQPC Uthman Taha Naskh"/>
          <w:sz w:val="28"/>
          <w:szCs w:val="28"/>
          <w:lang w:eastAsia="zh-CN"/>
        </w:rPr>
        <w:t xml:space="preserve"> www.islamqa.info</w:t>
      </w:r>
    </w:p>
    <w:p w:rsidR="00777A72" w:rsidRPr="00FF4CDC" w:rsidRDefault="00777A72" w:rsidP="00F96CAF">
      <w:pPr>
        <w:bidi w:val="0"/>
        <w:spacing w:before="150" w:after="150" w:line="284" w:lineRule="atLeast"/>
        <w:rPr>
          <w:rStyle w:val="divx11"/>
          <w:sz w:val="22"/>
          <w:szCs w:val="22"/>
          <w:rtl/>
          <w:lang w:eastAsia="zh-CN"/>
        </w:rPr>
      </w:pPr>
    </w:p>
    <w:p w:rsidR="00E91149" w:rsidRDefault="00E91149" w:rsidP="00E91149">
      <w:pPr>
        <w:bidi w:val="0"/>
        <w:jc w:val="center"/>
        <w:rPr>
          <w:rFonts w:ascii="Calibri" w:hAnsi="Calibri" w:cs="KFGQPC Uthman Taha Naskh"/>
          <w:sz w:val="20"/>
          <w:szCs w:val="20"/>
          <w:lang w:eastAsia="zh-CN"/>
        </w:rPr>
      </w:pPr>
    </w:p>
    <w:p w:rsidR="002903F1" w:rsidRDefault="002903F1" w:rsidP="002903F1">
      <w:pPr>
        <w:bidi w:val="0"/>
        <w:jc w:val="center"/>
        <w:rPr>
          <w:rFonts w:ascii="Calibri" w:hAnsi="Calibri" w:cs="KFGQPC Uthman Taha Naskh"/>
          <w:sz w:val="20"/>
          <w:szCs w:val="20"/>
          <w:lang w:eastAsia="zh-CN"/>
        </w:rPr>
      </w:pPr>
    </w:p>
    <w:p w:rsidR="00DA02E5" w:rsidRDefault="00DA02E5" w:rsidP="00DA02E5">
      <w:pPr>
        <w:bidi w:val="0"/>
        <w:jc w:val="center"/>
        <w:rPr>
          <w:rFonts w:ascii="Calibri" w:hAnsi="Calibri" w:cs="KFGQPC Uthman Taha Naskh"/>
          <w:sz w:val="20"/>
          <w:szCs w:val="20"/>
          <w:lang w:eastAsia="zh-CN"/>
        </w:rPr>
      </w:pPr>
    </w:p>
    <w:p w:rsidR="00777A72" w:rsidRPr="00755C1B" w:rsidRDefault="00777A72" w:rsidP="00755C1B">
      <w:pPr>
        <w:jc w:val="center"/>
        <w:rPr>
          <w:rFonts w:cs="Times New Roman"/>
          <w:szCs w:val="24"/>
        </w:rPr>
      </w:pPr>
      <w:r w:rsidRPr="00755C1B">
        <w:rPr>
          <w:rFonts w:cs="Times New Roman"/>
          <w:szCs w:val="24"/>
        </w:rPr>
        <w:t>2012 - 1433</w:t>
      </w:r>
    </w:p>
    <w:p w:rsidR="00777A72" w:rsidRPr="00755C1B" w:rsidRDefault="007C6338" w:rsidP="00755C1B">
      <w:pPr>
        <w:jc w:val="center"/>
        <w:rPr>
          <w:rFonts w:cs="Times New Roman"/>
          <w:b/>
          <w:bCs/>
          <w:color w:val="800000"/>
          <w:szCs w:val="40"/>
          <w:rtl/>
          <w:lang w:bidi="ar-EG"/>
        </w:rPr>
        <w:sectPr w:rsidR="00777A72" w:rsidRPr="00755C1B" w:rsidSect="00755C1B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footnotePr>
            <w:numFmt w:val="decimalEnclosedCircleChinese"/>
            <w:numRestart w:val="eachPage"/>
          </w:footnotePr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>
        <w:rPr>
          <w:rFonts w:cs="Times New Roman"/>
          <w:noProof/>
          <w:lang w:eastAsia="zh-CN"/>
        </w:rPr>
        <w:drawing>
          <wp:inline distT="0" distB="0" distL="0" distR="0">
            <wp:extent cx="1803400" cy="273050"/>
            <wp:effectExtent l="0" t="0" r="6350" b="0"/>
            <wp:docPr id="1" name="صورة 1" descr="logo_islamhous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72" w:rsidRPr="00755C1B" w:rsidRDefault="00777A72" w:rsidP="00755C1B">
      <w:pPr>
        <w:jc w:val="center"/>
        <w:rPr>
          <w:sz w:val="16"/>
          <w:szCs w:val="22"/>
          <w:rtl/>
        </w:rPr>
      </w:pPr>
    </w:p>
    <w:p w:rsidR="00DA02E5" w:rsidRPr="003C285A" w:rsidRDefault="00777A72" w:rsidP="002903F1">
      <w:pPr>
        <w:tabs>
          <w:tab w:val="left" w:pos="-3150"/>
        </w:tabs>
        <w:jc w:val="center"/>
        <w:rPr>
          <w:rFonts w:cs="KFGQPC Uthman Taha Naskh"/>
          <w:color w:val="auto"/>
          <w:sz w:val="32"/>
          <w:szCs w:val="32"/>
          <w:rtl/>
        </w:rPr>
      </w:pPr>
      <w:r w:rsidRPr="003C285A">
        <w:rPr>
          <w:rFonts w:cs="KFGQPC Uthman Taha Naskh" w:hint="cs"/>
          <w:color w:val="auto"/>
          <w:sz w:val="32"/>
          <w:szCs w:val="32"/>
          <w:rtl/>
        </w:rPr>
        <w:t>﴿</w:t>
      </w:r>
      <w:r w:rsidR="00DA02E5" w:rsidRPr="003C285A">
        <w:rPr>
          <w:rFonts w:ascii="Arial" w:eastAsia="Times New Roman" w:hAnsi="Arial" w:cs="KFGQPC Uthman Taha Naskh" w:hint="cs"/>
          <w:color w:val="auto"/>
          <w:sz w:val="32"/>
          <w:szCs w:val="32"/>
          <w:rtl/>
        </w:rPr>
        <w:t xml:space="preserve"> </w:t>
      </w:r>
      <w:r w:rsidR="002903F1" w:rsidRPr="002903F1">
        <w:rPr>
          <w:rtl/>
        </w:rPr>
        <w:t>العمل بالرؤية لا بحسابات الفلكيين</w:t>
      </w:r>
      <w:r w:rsidR="002903F1">
        <w:rPr>
          <w:rFonts w:cs="KFGQPC Uthman Taha Naskh"/>
          <w:color w:val="auto"/>
          <w:sz w:val="32"/>
          <w:szCs w:val="32"/>
        </w:rPr>
        <w:t xml:space="preserve"> </w:t>
      </w:r>
      <w:r w:rsidRPr="003C285A">
        <w:rPr>
          <w:rFonts w:cs="KFGQPC Uthman Taha Naskh" w:hint="cs"/>
          <w:color w:val="auto"/>
          <w:sz w:val="32"/>
          <w:szCs w:val="32"/>
          <w:rtl/>
        </w:rPr>
        <w:t>﴾</w:t>
      </w:r>
    </w:p>
    <w:p w:rsidR="00777A72" w:rsidRPr="00FF4CDC" w:rsidRDefault="00777A72" w:rsidP="00777A72">
      <w:pPr>
        <w:jc w:val="center"/>
        <w:rPr>
          <w:rFonts w:ascii="Courier New" w:hAnsi="Courier New" w:cs="KFGQPC Uthman Taha Naskh"/>
          <w:b/>
          <w:bCs/>
          <w:color w:val="auto"/>
          <w:szCs w:val="24"/>
        </w:rPr>
      </w:pPr>
      <w:r w:rsidRPr="00FF4CDC">
        <w:rPr>
          <w:rFonts w:cs="KFGQPC Uthman Taha Naskh" w:hint="cs"/>
          <w:color w:val="auto"/>
          <w:szCs w:val="24"/>
          <w:rtl/>
        </w:rPr>
        <w:t>«</w:t>
      </w:r>
      <w:r>
        <w:rPr>
          <w:rFonts w:cs="KFGQPC Uthman Taha Naskh" w:hint="cs"/>
          <w:color w:val="auto"/>
          <w:szCs w:val="24"/>
          <w:rtl/>
        </w:rPr>
        <w:t xml:space="preserve"> باللغة الصينية</w:t>
      </w:r>
      <w:r w:rsidRPr="00FF4CDC">
        <w:rPr>
          <w:rFonts w:cs="KFGQPC Uthman Taha Naskh" w:hint="cs"/>
          <w:color w:val="auto"/>
          <w:szCs w:val="24"/>
          <w:rtl/>
        </w:rPr>
        <w:t xml:space="preserve"> »</w:t>
      </w:r>
    </w:p>
    <w:p w:rsidR="00C07B65" w:rsidRDefault="00C07B65" w:rsidP="00755C1B">
      <w:pPr>
        <w:bidi w:val="0"/>
        <w:jc w:val="center"/>
      </w:pPr>
    </w:p>
    <w:p w:rsidR="00755C1B" w:rsidRDefault="00755C1B" w:rsidP="00755C1B">
      <w:pPr>
        <w:bidi w:val="0"/>
        <w:jc w:val="center"/>
      </w:pPr>
    </w:p>
    <w:p w:rsidR="00755C1B" w:rsidRDefault="00755C1B" w:rsidP="00755C1B">
      <w:pPr>
        <w:bidi w:val="0"/>
        <w:jc w:val="center"/>
        <w:rPr>
          <w:sz w:val="48"/>
          <w:szCs w:val="72"/>
        </w:rPr>
      </w:pPr>
    </w:p>
    <w:p w:rsidR="003C285A" w:rsidRPr="00755C1B" w:rsidRDefault="003C285A" w:rsidP="003C285A">
      <w:pPr>
        <w:bidi w:val="0"/>
        <w:jc w:val="center"/>
      </w:pPr>
    </w:p>
    <w:p w:rsidR="00E91149" w:rsidRDefault="00C07B65" w:rsidP="00E91149">
      <w:pPr>
        <w:jc w:val="center"/>
        <w:rPr>
          <w:rStyle w:val="divx11"/>
          <w:rFonts w:ascii="Calibri" w:hAnsi="Calibri" w:cs="KFGQPC Uthman Taha Naskh" w:hint="cs"/>
          <w:color w:val="auto"/>
          <w:sz w:val="28"/>
          <w:szCs w:val="28"/>
          <w:rtl/>
        </w:rPr>
      </w:pPr>
      <w:r w:rsidRPr="00DA02E5">
        <w:rPr>
          <w:rFonts w:ascii="Arial" w:eastAsia="Times New Roman" w:hAnsi="Arial" w:cs="KFGQPC Uthman Taha Naskh"/>
          <w:color w:val="auto"/>
          <w:sz w:val="28"/>
          <w:szCs w:val="28"/>
          <w:rtl/>
        </w:rPr>
        <w:t>الشيخ محمد صالح المنجد</w:t>
      </w:r>
    </w:p>
    <w:p w:rsidR="002903F1" w:rsidRPr="00DA02E5" w:rsidRDefault="002903F1" w:rsidP="002903F1">
      <w:pPr>
        <w:jc w:val="center"/>
        <w:rPr>
          <w:rStyle w:val="divx11"/>
          <w:rFonts w:ascii="Calibri" w:hAnsi="Calibri" w:cs="KFGQPC Uthman Taha Naskh" w:hint="cs"/>
          <w:color w:val="auto"/>
          <w:sz w:val="28"/>
          <w:szCs w:val="28"/>
          <w:rtl/>
        </w:rPr>
      </w:pPr>
      <w:r w:rsidRPr="00E91149">
        <w:rPr>
          <w:rStyle w:val="divx11"/>
          <w:rFonts w:ascii="Calibri" w:hAnsi="Calibri" w:cs="KFGQPC Uthman Taha Naskh"/>
          <w:color w:val="auto"/>
          <w:sz w:val="28"/>
          <w:szCs w:val="28"/>
          <w:rtl/>
        </w:rPr>
        <w:t>اللجنة الدائمة للبحوث العلمية والإفتاء والدعوة والإرشاد</w:t>
      </w:r>
    </w:p>
    <w:p w:rsidR="0062783D" w:rsidRDefault="0062783D" w:rsidP="002903F1">
      <w:pPr>
        <w:spacing w:before="150" w:after="150" w:line="284" w:lineRule="atLeast"/>
        <w:rPr>
          <w:rStyle w:val="divx11"/>
          <w:rFonts w:ascii="Calibri" w:hAnsi="Calibri" w:cs="KFGQPC Uthman Taha Naskh" w:hint="cs"/>
          <w:color w:val="auto"/>
          <w:sz w:val="28"/>
          <w:szCs w:val="28"/>
          <w:rtl/>
        </w:rPr>
      </w:pPr>
    </w:p>
    <w:p w:rsidR="002903F1" w:rsidRDefault="002903F1" w:rsidP="002903F1">
      <w:pPr>
        <w:spacing w:before="150" w:after="150" w:line="284" w:lineRule="atLeast"/>
        <w:rPr>
          <w:rStyle w:val="divx11"/>
          <w:rFonts w:ascii="Calibri" w:hAnsi="Calibri" w:cs="KFGQPC Uthman Taha Naskh"/>
          <w:b/>
          <w:bCs/>
          <w:color w:val="auto"/>
          <w:szCs w:val="24"/>
          <w:lang w:eastAsia="zh-CN"/>
        </w:rPr>
      </w:pPr>
    </w:p>
    <w:p w:rsidR="00777A72" w:rsidRPr="00DA02E5" w:rsidRDefault="00777A72" w:rsidP="002A6864">
      <w:pPr>
        <w:spacing w:line="284" w:lineRule="atLeast"/>
        <w:jc w:val="center"/>
        <w:rPr>
          <w:rFonts w:ascii="mylotus" w:hAnsi="mylotus" w:cs="KFGQPC Uthman Taha Naskh"/>
          <w:color w:val="auto"/>
          <w:szCs w:val="24"/>
          <w:lang w:bidi="ar-EG"/>
        </w:rPr>
      </w:pPr>
      <w:r w:rsidRPr="00DA02E5">
        <w:rPr>
          <w:rFonts w:ascii="mylotus" w:hAnsi="mylotus" w:cs="KFGQPC Uthman Taha Naskh" w:hint="cs"/>
          <w:color w:val="800000"/>
          <w:szCs w:val="24"/>
          <w:rtl/>
          <w:lang w:bidi="ar-EG"/>
        </w:rPr>
        <w:t>ترجمة:</w:t>
      </w:r>
      <w:r w:rsidRPr="00DA02E5">
        <w:rPr>
          <w:rFonts w:ascii="mylotus" w:hAnsi="mylotus" w:cs="KFGQPC Uthman Taha Naskh" w:hint="cs"/>
          <w:color w:val="auto"/>
          <w:szCs w:val="24"/>
          <w:rtl/>
          <w:lang w:bidi="ar-EG"/>
        </w:rPr>
        <w:t xml:space="preserve"> </w:t>
      </w:r>
      <w:r w:rsidR="003B2CBA" w:rsidRPr="003B2CBA">
        <w:rPr>
          <w:rFonts w:cs="KFGQPC Uthman Taha Naskh"/>
          <w:sz w:val="28"/>
          <w:szCs w:val="28"/>
          <w:rtl/>
        </w:rPr>
        <w:t xml:space="preserve">موقع الإسلام سؤال وجواب </w:t>
      </w:r>
      <w:r w:rsidR="002A6864" w:rsidRPr="003B2CBA">
        <w:rPr>
          <w:rFonts w:cs="KFGQPC Uthman Taha Naskh"/>
          <w:sz w:val="28"/>
          <w:szCs w:val="28"/>
        </w:rPr>
        <w:t>http://</w:t>
      </w:r>
      <w:r w:rsidR="003B2CBA" w:rsidRPr="003B2CBA">
        <w:rPr>
          <w:rFonts w:cs="KFGQPC Uthman Taha Naskh"/>
          <w:sz w:val="28"/>
          <w:szCs w:val="28"/>
        </w:rPr>
        <w:t>www.islamqa.info</w:t>
      </w:r>
    </w:p>
    <w:p w:rsidR="00777A72" w:rsidRDefault="00777A72" w:rsidP="00777A72">
      <w:pPr>
        <w:spacing w:before="150" w:after="150" w:line="284" w:lineRule="atLeast"/>
        <w:jc w:val="center"/>
        <w:rPr>
          <w:rStyle w:val="divx11"/>
          <w:color w:val="auto"/>
          <w:sz w:val="22"/>
          <w:szCs w:val="22"/>
          <w:rtl/>
          <w:lang w:bidi="ar-EG"/>
        </w:rPr>
      </w:pPr>
    </w:p>
    <w:p w:rsidR="00DA02E5" w:rsidRDefault="00DA02E5" w:rsidP="00DA02E5">
      <w:pPr>
        <w:bidi w:val="0"/>
        <w:jc w:val="center"/>
        <w:rPr>
          <w:rFonts w:ascii="Calibri" w:hAnsi="Calibri" w:cs="KFGQPC Uthman Taha Naskh"/>
          <w:sz w:val="20"/>
          <w:szCs w:val="20"/>
        </w:rPr>
      </w:pPr>
    </w:p>
    <w:p w:rsidR="002903F1" w:rsidRDefault="002903F1" w:rsidP="002903F1">
      <w:pPr>
        <w:bidi w:val="0"/>
        <w:jc w:val="center"/>
        <w:rPr>
          <w:rFonts w:ascii="Calibri" w:hAnsi="Calibri" w:cs="KFGQPC Uthman Taha Naskh"/>
          <w:sz w:val="20"/>
          <w:szCs w:val="20"/>
          <w:rtl/>
        </w:rPr>
      </w:pPr>
    </w:p>
    <w:p w:rsidR="003C285A" w:rsidRDefault="003C285A" w:rsidP="003C285A">
      <w:pPr>
        <w:bidi w:val="0"/>
        <w:jc w:val="center"/>
        <w:rPr>
          <w:rFonts w:ascii="Calibri" w:hAnsi="Calibri" w:cs="KFGQPC Uthman Taha Naskh"/>
          <w:sz w:val="20"/>
          <w:szCs w:val="20"/>
        </w:rPr>
      </w:pPr>
    </w:p>
    <w:p w:rsidR="00777A72" w:rsidRPr="00755C1B" w:rsidRDefault="00777A72" w:rsidP="00755C1B">
      <w:pPr>
        <w:jc w:val="center"/>
        <w:rPr>
          <w:rFonts w:cs="Times New Roman"/>
          <w:szCs w:val="24"/>
        </w:rPr>
      </w:pPr>
      <w:r w:rsidRPr="00755C1B">
        <w:rPr>
          <w:rFonts w:cs="Times New Roman"/>
          <w:szCs w:val="24"/>
        </w:rPr>
        <w:t>2012 - 1433</w:t>
      </w:r>
    </w:p>
    <w:p w:rsidR="00777A72" w:rsidRPr="00755C1B" w:rsidRDefault="007C6338" w:rsidP="00755C1B">
      <w:pPr>
        <w:jc w:val="center"/>
        <w:rPr>
          <w:rFonts w:cs="Times New Roman"/>
          <w:b/>
          <w:bCs/>
          <w:color w:val="auto"/>
          <w:szCs w:val="40"/>
          <w:lang w:bidi="ar-EG"/>
        </w:rPr>
      </w:pPr>
      <w:r>
        <w:rPr>
          <w:rFonts w:cs="Times New Roman"/>
          <w:noProof/>
          <w:lang w:eastAsia="zh-CN"/>
        </w:rPr>
        <w:drawing>
          <wp:inline distT="0" distB="0" distL="0" distR="0">
            <wp:extent cx="1847850" cy="279400"/>
            <wp:effectExtent l="0" t="0" r="0" b="6350"/>
            <wp:docPr id="2" name="صورة 1" descr="logo_islamhous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68" w:rsidRDefault="00564468" w:rsidP="00564468">
      <w:pPr>
        <w:bidi w:val="0"/>
        <w:spacing w:line="360" w:lineRule="auto"/>
        <w:rPr>
          <w:rFonts w:ascii="SimSun" w:hAnsi="SimSun"/>
          <w:kern w:val="28"/>
          <w:sz w:val="22"/>
          <w:szCs w:val="22"/>
          <w:lang w:eastAsia="zh-CN"/>
        </w:rPr>
      </w:pPr>
    </w:p>
    <w:p w:rsidR="002903F1" w:rsidRPr="002903F1" w:rsidRDefault="002903F1" w:rsidP="002903F1">
      <w:pPr>
        <w:bidi w:val="0"/>
        <w:spacing w:after="240"/>
        <w:rPr>
          <w:b/>
          <w:bCs/>
          <w:lang w:eastAsia="zh-CN"/>
        </w:rPr>
      </w:pPr>
      <w:r w:rsidRPr="002903F1">
        <w:rPr>
          <w:rStyle w:val="question"/>
          <w:b/>
          <w:bCs/>
          <w:color w:val="943634" w:themeColor="accent2" w:themeShade="BF"/>
          <w:lang w:eastAsia="zh-CN"/>
        </w:rPr>
        <w:t>穆斯林学者在确定斋月的起始和开斋节的时间上存在较大的分歧，他们中有人认为应当寻见新月，依据是这段</w:t>
      </w:r>
      <w:r w:rsidRPr="002903F1">
        <w:rPr>
          <w:rStyle w:val="question"/>
          <w:rFonts w:ascii="PMingLiU" w:eastAsia="PMingLiU" w:hAnsi="PMingLiU" w:cs="PMingLiU" w:hint="eastAsia"/>
          <w:b/>
          <w:bCs/>
          <w:color w:val="943634" w:themeColor="accent2" w:themeShade="BF"/>
          <w:lang w:eastAsia="zh-CN"/>
        </w:rPr>
        <w:t>圣</w:t>
      </w:r>
      <w:r w:rsidRPr="002903F1">
        <w:rPr>
          <w:rStyle w:val="question"/>
          <w:b/>
          <w:bCs/>
          <w:color w:val="943634" w:themeColor="accent2" w:themeShade="BF"/>
          <w:lang w:eastAsia="zh-CN"/>
        </w:rPr>
        <w:t xml:space="preserve"> </w:t>
      </w:r>
      <w:r w:rsidRPr="002903F1">
        <w:rPr>
          <w:rStyle w:val="question"/>
          <w:b/>
          <w:bCs/>
          <w:color w:val="943634" w:themeColor="accent2" w:themeShade="BF"/>
          <w:lang w:eastAsia="zh-CN"/>
        </w:rPr>
        <w:t>训：（你们当见月封斋，见月开斋。）另外一些人，依据天文学家的意见，他们说：科学家们在天文学方面的成就，已经使他们能够知晓伊历月份的起始时间。在</w:t>
      </w:r>
      <w:r w:rsidRPr="002903F1">
        <w:rPr>
          <w:rStyle w:val="question"/>
          <w:rFonts w:ascii="PMingLiU" w:eastAsia="PMingLiU" w:hAnsi="PMingLiU" w:cs="PMingLiU" w:hint="eastAsia"/>
          <w:b/>
          <w:bCs/>
          <w:color w:val="943634" w:themeColor="accent2" w:themeShade="BF"/>
          <w:lang w:eastAsia="zh-CN"/>
        </w:rPr>
        <w:t>这</w:t>
      </w:r>
      <w:r w:rsidRPr="002903F1">
        <w:rPr>
          <w:rStyle w:val="question"/>
          <w:b/>
          <w:bCs/>
          <w:color w:val="943634" w:themeColor="accent2" w:themeShade="BF"/>
          <w:lang w:eastAsia="zh-CN"/>
        </w:rPr>
        <w:t xml:space="preserve"> </w:t>
      </w:r>
      <w:r w:rsidRPr="002903F1">
        <w:rPr>
          <w:rStyle w:val="question"/>
          <w:b/>
          <w:bCs/>
          <w:color w:val="943634" w:themeColor="accent2" w:themeShade="BF"/>
          <w:lang w:eastAsia="zh-CN"/>
        </w:rPr>
        <w:t>个问题上，哪一种观点是正确的呢</w:t>
      </w:r>
      <w:r w:rsidRPr="002903F1">
        <w:rPr>
          <w:rStyle w:val="question"/>
          <w:rFonts w:ascii="PMingLiU" w:eastAsia="PMingLiU" w:hAnsi="PMingLiU" w:cs="PMingLiU" w:hint="eastAsia"/>
          <w:b/>
          <w:bCs/>
          <w:color w:val="943634" w:themeColor="accent2" w:themeShade="BF"/>
          <w:lang w:eastAsia="zh-CN"/>
        </w:rPr>
        <w:t>？</w:t>
      </w:r>
      <w:r w:rsidRPr="002903F1">
        <w:rPr>
          <w:rStyle w:val="question"/>
          <w:b/>
          <w:bCs/>
          <w:lang w:eastAsia="zh-CN"/>
        </w:rPr>
        <w:t xml:space="preserve"> </w:t>
      </w:r>
    </w:p>
    <w:p w:rsidR="002903F1" w:rsidRDefault="002903F1" w:rsidP="002903F1">
      <w:pPr>
        <w:bidi w:val="0"/>
        <w:rPr>
          <w:lang w:eastAsia="zh-CN"/>
        </w:rPr>
      </w:pPr>
      <w:r>
        <w:rPr>
          <w:lang w:eastAsia="zh-CN"/>
        </w:rPr>
        <w:t>一切赞颂全归真主</w:t>
      </w:r>
      <w:r>
        <w:rPr>
          <w:rFonts w:ascii="PMingLiU" w:eastAsia="PMingLiU" w:hAnsi="PMingLiU" w:cs="PMingLiU" w:hint="eastAsia"/>
          <w:lang w:eastAsia="zh-CN"/>
        </w:rPr>
        <w:t>。</w:t>
      </w:r>
    </w:p>
    <w:p w:rsidR="002903F1" w:rsidRDefault="002903F1" w:rsidP="002903F1">
      <w:pPr>
        <w:pStyle w:val="3"/>
        <w:ind w:firstLineChars="200" w:firstLine="480"/>
      </w:pPr>
      <w:r>
        <w:rPr>
          <w:rFonts w:ascii="PMingLiU" w:eastAsia="PMingLiU" w:hAnsi="PMingLiU" w:cs="PMingLiU" w:hint="eastAsia"/>
        </w:rPr>
        <w:t>首先：应当遵照执行的正确观点是圣人（真主的称赞、祝福与安宁属于他）的这段圣训所指示的做法，</w:t>
      </w:r>
      <w:r>
        <w:t xml:space="preserve"> </w:t>
      </w:r>
      <w:r>
        <w:rPr>
          <w:rFonts w:ascii="PMingLiU" w:eastAsia="PMingLiU" w:hAnsi="PMingLiU" w:cs="PMingLiU" w:hint="eastAsia"/>
        </w:rPr>
        <w:t>（你们当见月封斋，见月开斋。当遇有云蒙时，全美舍尔班月。）为确定斋月的起止，当用肉眼寻见新月，真主差派我们的圣人穆罕默德（真主的称赞、祝福与安宁</w:t>
      </w:r>
      <w:r>
        <w:t xml:space="preserve"> </w:t>
      </w:r>
      <w:r>
        <w:rPr>
          <w:rFonts w:ascii="PMingLiU" w:eastAsia="PMingLiU" w:hAnsi="PMingLiU" w:cs="PMingLiU" w:hint="eastAsia"/>
        </w:rPr>
        <w:t>属于他）所带来的伊斯兰教律，是适合各个时代，各种环境的直至复生日的永恒的法典。（它是适合于各个时代，各种环境的，无论是科学技术是否发达，无论是否</w:t>
      </w:r>
      <w:r>
        <w:t xml:space="preserve"> </w:t>
      </w:r>
      <w:r>
        <w:rPr>
          <w:rFonts w:ascii="PMingLiU" w:eastAsia="PMingLiU" w:hAnsi="PMingLiU" w:cs="PMingLiU" w:hint="eastAsia"/>
        </w:rPr>
        <w:t>拥有各种仪器，也无论是否有精通天文计算的人员，用肉眼寻见新月是各个时代、各个地区的人们都能够做到的，不像计算的方法那样，可能有人精通，也可能没有</w:t>
      </w:r>
      <w:r>
        <w:t xml:space="preserve"> </w:t>
      </w:r>
      <w:r>
        <w:rPr>
          <w:rFonts w:ascii="PMingLiU" w:eastAsia="PMingLiU" w:hAnsi="PMingLiU" w:cs="PMingLiU" w:hint="eastAsia"/>
        </w:rPr>
        <w:t>人精通，也不像仪器，可能有，也可能没有。）</w:t>
      </w:r>
    </w:p>
    <w:p w:rsidR="002903F1" w:rsidRDefault="002903F1" w:rsidP="002903F1">
      <w:pPr>
        <w:pStyle w:val="3"/>
        <w:ind w:firstLineChars="200" w:firstLine="480"/>
      </w:pPr>
      <w:r>
        <w:rPr>
          <w:rFonts w:ascii="PMingLiU" w:eastAsia="PMingLiU" w:hAnsi="PMingLiU" w:cs="PMingLiU" w:hint="eastAsia"/>
        </w:rPr>
        <w:t>第二：真主彻知现有的事物和将来的事物，他知道天文学和其它科学将要发展到何种程度，与此同时，</w:t>
      </w:r>
      <w:r>
        <w:t xml:space="preserve"> </w:t>
      </w:r>
      <w:r>
        <w:rPr>
          <w:rFonts w:ascii="PMingLiU" w:eastAsia="PMingLiU" w:hAnsi="PMingLiU" w:cs="PMingLiU" w:hint="eastAsia"/>
        </w:rPr>
        <w:t>他说：（你们中谁得到了这个月份，他应该斋戒此月。）古兰经</w:t>
      </w:r>
      <w:r>
        <w:t xml:space="preserve"> </w:t>
      </w:r>
      <w:r>
        <w:rPr>
          <w:rFonts w:ascii="PMingLiU" w:eastAsia="PMingLiU" w:hAnsi="PMingLiU" w:cs="PMingLiU" w:hint="eastAsia"/>
        </w:rPr>
        <w:t>黄牛章</w:t>
      </w:r>
      <w:r>
        <w:t>185</w:t>
      </w:r>
      <w:r>
        <w:rPr>
          <w:rFonts w:ascii="PMingLiU" w:eastAsia="PMingLiU" w:hAnsi="PMingLiU" w:cs="PMingLiU" w:hint="eastAsia"/>
        </w:rPr>
        <w:t>节。真主的使者（真主的称赞、祝福与安宁属于他）又加以阐述，他说：</w:t>
      </w:r>
      <w:r>
        <w:t>“</w:t>
      </w:r>
      <w:r>
        <w:rPr>
          <w:rFonts w:ascii="PMingLiU" w:eastAsia="PMingLiU" w:hAnsi="PMingLiU" w:cs="PMingLiU" w:hint="eastAsia"/>
        </w:rPr>
        <w:t>你们当见月封斋，见月开斋。</w:t>
      </w:r>
      <w:r>
        <w:t>”</w:t>
      </w:r>
      <w:r>
        <w:rPr>
          <w:rFonts w:ascii="PMingLiU" w:eastAsia="PMingLiU" w:hAnsi="PMingLiU" w:cs="PMingLiU" w:hint="eastAsia"/>
        </w:rPr>
        <w:t>这样使斋月的起止时间与寻见新月紧密相关</w:t>
      </w:r>
      <w:r>
        <w:t xml:space="preserve"> </w:t>
      </w:r>
      <w:r>
        <w:rPr>
          <w:rFonts w:ascii="PMingLiU" w:eastAsia="PMingLiU" w:hAnsi="PMingLiU" w:cs="PMingLiU" w:hint="eastAsia"/>
        </w:rPr>
        <w:t>起来，并没有与计算星宿运行相关联，而真主知道天文学家们将能通过计算得到星宿运行的情况，穆斯林应当遵照真主的律法与圣人（真主的称赞、祝福与安宁属于</w:t>
      </w:r>
      <w:r>
        <w:t xml:space="preserve"> </w:t>
      </w:r>
      <w:r>
        <w:rPr>
          <w:rFonts w:ascii="PMingLiU" w:eastAsia="PMingLiU" w:hAnsi="PMingLiU" w:cs="PMingLiU" w:hint="eastAsia"/>
        </w:rPr>
        <w:t>他）的教诲，以寻见新月作为封斋与开斋的依据，这也是众学者的一致主张，至于依赖于计算星宿运行的观点，是不可信赖的。真主至知。</w:t>
      </w:r>
    </w:p>
    <w:p w:rsidR="002903F1" w:rsidRDefault="002903F1" w:rsidP="002903F1">
      <w:pPr>
        <w:bidi w:val="0"/>
      </w:pPr>
    </w:p>
    <w:p w:rsidR="002903F1" w:rsidRDefault="002903F1" w:rsidP="002903F1">
      <w:pPr>
        <w:bidi w:val="0"/>
      </w:pPr>
      <w:r>
        <w:t>学术论文及教法判例常委会</w:t>
      </w:r>
      <w:r>
        <w:t>10/106</w:t>
      </w:r>
    </w:p>
    <w:p w:rsidR="0062783D" w:rsidRDefault="0062783D" w:rsidP="0062783D">
      <w:pPr>
        <w:bidi w:val="0"/>
        <w:rPr>
          <w:lang w:eastAsia="zh-CN"/>
        </w:rPr>
      </w:pPr>
    </w:p>
    <w:p w:rsidR="00835B25" w:rsidRDefault="00835B25" w:rsidP="0062783D">
      <w:pPr>
        <w:bidi w:val="0"/>
        <w:spacing w:line="360" w:lineRule="auto"/>
        <w:rPr>
          <w:rFonts w:ascii="SimSun" w:hAnsi="SimSun"/>
          <w:kern w:val="28"/>
          <w:sz w:val="22"/>
          <w:szCs w:val="22"/>
          <w:lang w:eastAsia="zh-CN"/>
        </w:rPr>
      </w:pPr>
    </w:p>
    <w:sectPr w:rsidR="00835B25" w:rsidSect="00755C1B">
      <w:footnotePr>
        <w:numFmt w:val="decimalEnclosedCircleChinese"/>
        <w:numRestart w:val="eachPage"/>
      </w:footnotePr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CBD" w:rsidRDefault="00675CBD" w:rsidP="00777A72">
      <w:r>
        <w:separator/>
      </w:r>
    </w:p>
  </w:endnote>
  <w:endnote w:type="continuationSeparator" w:id="0">
    <w:p w:rsidR="00675CBD" w:rsidRDefault="00675CBD" w:rsidP="0077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7A3364B-826E-444B-8845-8C4F44583E56}"/>
    <w:embedBold r:id="rId2" w:fontKey="{FAFEC545-5192-4564-AF07-17A3D29ED5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B1D67A05-8B6E-48CA-B0B5-BFD1D70C3F5D}"/>
    <w:embedBold r:id="rId4" w:subsetted="1" w:fontKey="{1EDA1AFA-1A9E-4E40-900E-7EA554B271A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3184C3BF-43B1-4724-9F30-185F8593D0E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6" w:fontKey="{51F6491B-D2AC-4C3E-BFBC-B7A00C577194}"/>
    <w:embedBold r:id="rId7" w:fontKey="{33386069-E427-4CD8-B839-618CEBAAAE5C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8" w:fontKey="{85A99C62-1FA1-4888-87E1-38E2A17540C5}"/>
    <w:embedBold r:id="rId9" w:fontKey="{24CFE094-27AE-44D6-BD9A-15E33B2A2F12}"/>
  </w:font>
  <w:font w:name="mylotus1">
    <w:charset w:val="00"/>
    <w:family w:val="auto"/>
    <w:pitch w:val="variable"/>
    <w:sig w:usb0="00002007" w:usb1="80000000" w:usb2="00000008" w:usb3="00000000" w:csb0="00000043" w:csb1="00000000"/>
    <w:embedRegular r:id="rId10" w:fontKey="{14FD87D4-440D-4CFC-9B9C-AC4F1E120A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1" w:fontKey="{1D2A21E3-4136-4667-BEC4-BD7F6C8865A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22D17B94-1A85-420D-BDA3-591E9C675611}"/>
    <w:embedBold r:id="rId13" w:fontKey="{7362CE19-312D-440E-AAAE-1865327975C6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  <w:embedBold r:id="rId14" w:subsetted="1" w:fontKey="{DD6BBD3E-E70F-4CC6-9139-280BA5C62FF5}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5" w:subsetted="1" w:fontKey="{C71FB6B4-21B7-4A2E-A270-2AE1EFD8B858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Bold r:id="rId16" w:fontKey="{5ABBA804-77BD-450C-B03E-1BA77E0D976B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7" w:fontKey="{CBC4959A-7270-4738-AB30-CA34D7400E7E}"/>
  </w:font>
  <w:font w:name="PMingLiU">
    <w:altName w:val="新細明體"/>
    <w:panose1 w:val="02020300000000000000"/>
    <w:charset w:val="88"/>
    <w:family w:val="roman"/>
    <w:pitch w:val="variable"/>
    <w:sig w:usb0="A00002FF" w:usb1="28CFFCFA" w:usb2="00000016" w:usb3="00000000" w:csb0="00100001" w:csb1="00000000"/>
    <w:embedRegular r:id="rId18" w:subsetted="1" w:fontKey="{E451B54E-CA68-4041-8C33-A502B5805E20}"/>
    <w:embedBold r:id="rId19" w:subsetted="1" w:fontKey="{33C00D9E-429B-427F-8135-A16ADD17A1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0" w:fontKey="{37CA3E66-6BF6-4005-82E8-472CAB826A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72" w:rsidRDefault="00777A72" w:rsidP="003A4C59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noProof/>
        <w:rtl/>
      </w:rPr>
      <w:t>9</w:t>
    </w:r>
    <w:r>
      <w:rPr>
        <w:rStyle w:val="a7"/>
        <w:rtl/>
      </w:rPr>
      <w:fldChar w:fldCharType="end"/>
    </w:r>
  </w:p>
  <w:p w:rsidR="00777A72" w:rsidRDefault="00777A7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72" w:rsidRPr="00755C1B" w:rsidRDefault="00777A72" w:rsidP="00755C1B">
    <w:pPr>
      <w:pStyle w:val="a6"/>
      <w:bidi w:val="0"/>
      <w:jc w:val="center"/>
      <w:rPr>
        <w:sz w:val="20"/>
        <w:szCs w:val="20"/>
        <w:lang w:val="en-US" w:bidi="ar-EG"/>
      </w:rPr>
    </w:pPr>
    <w:r w:rsidRPr="00FF4CDC">
      <w:rPr>
        <w:sz w:val="20"/>
        <w:szCs w:val="20"/>
      </w:rPr>
      <w:fldChar w:fldCharType="begin"/>
    </w:r>
    <w:r w:rsidRPr="00FF4CDC">
      <w:rPr>
        <w:sz w:val="20"/>
        <w:szCs w:val="20"/>
      </w:rPr>
      <w:instrText xml:space="preserve"> PAGE  \* Arabic  \* MERGEFORMAT </w:instrText>
    </w:r>
    <w:r w:rsidRPr="00FF4CDC">
      <w:rPr>
        <w:sz w:val="20"/>
        <w:szCs w:val="20"/>
      </w:rPr>
      <w:fldChar w:fldCharType="separate"/>
    </w:r>
    <w:r w:rsidR="002903F1">
      <w:rPr>
        <w:noProof/>
        <w:sz w:val="20"/>
        <w:szCs w:val="20"/>
      </w:rPr>
      <w:t>3</w:t>
    </w:r>
    <w:r w:rsidRPr="00FF4CDC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1B" w:rsidRDefault="00755C1B" w:rsidP="00755C1B">
    <w:pPr>
      <w:pStyle w:val="a6"/>
      <w:bidi w:val="0"/>
      <w:jc w:val="cen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CBD" w:rsidRDefault="00675CBD" w:rsidP="00777A72">
      <w:r>
        <w:separator/>
      </w:r>
    </w:p>
  </w:footnote>
  <w:footnote w:type="continuationSeparator" w:id="0">
    <w:p w:rsidR="00675CBD" w:rsidRDefault="00675CBD" w:rsidP="00777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1B" w:rsidRDefault="00755C1B" w:rsidP="00755C1B">
    <w:pPr>
      <w:pStyle w:val="ab"/>
      <w:bidi w:val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1B" w:rsidRDefault="00755C1B" w:rsidP="00755C1B">
    <w:pPr>
      <w:pStyle w:val="ab"/>
      <w:bidi w:val="0"/>
      <w:jc w:val="center"/>
      <w:rPr>
        <w:lang w:bidi="ar-EG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/>
  <w:defaultTabStop w:val="720"/>
  <w:drawingGridHorizontalSpacing w:val="120"/>
  <w:displayHorizontalDrawingGridEvery w:val="2"/>
  <w:characterSpacingControl w:val="doNotCompress"/>
  <w:savePreviewPicture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72"/>
    <w:rsid w:val="00080D43"/>
    <w:rsid w:val="000973F3"/>
    <w:rsid w:val="001111DD"/>
    <w:rsid w:val="001146BA"/>
    <w:rsid w:val="001E6345"/>
    <w:rsid w:val="002903F1"/>
    <w:rsid w:val="00295F2C"/>
    <w:rsid w:val="002A6864"/>
    <w:rsid w:val="002D7C4C"/>
    <w:rsid w:val="00300E8D"/>
    <w:rsid w:val="00306F2F"/>
    <w:rsid w:val="003569BC"/>
    <w:rsid w:val="00370C66"/>
    <w:rsid w:val="003A4C59"/>
    <w:rsid w:val="003B2CBA"/>
    <w:rsid w:val="003C285A"/>
    <w:rsid w:val="00414F84"/>
    <w:rsid w:val="004157B6"/>
    <w:rsid w:val="004320A6"/>
    <w:rsid w:val="004E1FAE"/>
    <w:rsid w:val="00554A4E"/>
    <w:rsid w:val="00564468"/>
    <w:rsid w:val="005A2A28"/>
    <w:rsid w:val="005B4C69"/>
    <w:rsid w:val="005E2FC2"/>
    <w:rsid w:val="006001D2"/>
    <w:rsid w:val="0062783D"/>
    <w:rsid w:val="00675CBD"/>
    <w:rsid w:val="00690BE0"/>
    <w:rsid w:val="006A0D3C"/>
    <w:rsid w:val="006B7F40"/>
    <w:rsid w:val="006C1238"/>
    <w:rsid w:val="006F08FF"/>
    <w:rsid w:val="007126B3"/>
    <w:rsid w:val="00744C6A"/>
    <w:rsid w:val="00755083"/>
    <w:rsid w:val="00755C1B"/>
    <w:rsid w:val="007716A7"/>
    <w:rsid w:val="00777A72"/>
    <w:rsid w:val="00790312"/>
    <w:rsid w:val="007A0DF5"/>
    <w:rsid w:val="007C6338"/>
    <w:rsid w:val="007E4433"/>
    <w:rsid w:val="00835B25"/>
    <w:rsid w:val="00892E60"/>
    <w:rsid w:val="008D27C2"/>
    <w:rsid w:val="008D7E66"/>
    <w:rsid w:val="00974C14"/>
    <w:rsid w:val="009D61FE"/>
    <w:rsid w:val="009F38AB"/>
    <w:rsid w:val="00A0031F"/>
    <w:rsid w:val="00A60DB9"/>
    <w:rsid w:val="00AE0FE4"/>
    <w:rsid w:val="00AF734C"/>
    <w:rsid w:val="00B33078"/>
    <w:rsid w:val="00C07B65"/>
    <w:rsid w:val="00C20E08"/>
    <w:rsid w:val="00C46D19"/>
    <w:rsid w:val="00CC3AE6"/>
    <w:rsid w:val="00D501F5"/>
    <w:rsid w:val="00D57B2C"/>
    <w:rsid w:val="00DA02E5"/>
    <w:rsid w:val="00E177A4"/>
    <w:rsid w:val="00E33CE6"/>
    <w:rsid w:val="00E91149"/>
    <w:rsid w:val="00EA3CC6"/>
    <w:rsid w:val="00EB4290"/>
    <w:rsid w:val="00EC64CB"/>
    <w:rsid w:val="00ED4B93"/>
    <w:rsid w:val="00F20D37"/>
    <w:rsid w:val="00F5298E"/>
    <w:rsid w:val="00F8305A"/>
    <w:rsid w:val="00F96CAF"/>
    <w:rsid w:val="00FB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72"/>
    <w:pPr>
      <w:bidi/>
    </w:pPr>
    <w:rPr>
      <w:rFonts w:ascii="Times New Roman" w:hAnsi="Times New Roman" w:cs="Traditional Arabic"/>
      <w:color w:val="00000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ootnote Text"/>
    <w:basedOn w:val="a"/>
    <w:link w:val="Char"/>
    <w:uiPriority w:val="99"/>
    <w:rsid w:val="00777A72"/>
    <w:rPr>
      <w:rFonts w:cs="Times New Roman"/>
      <w:color w:val="auto"/>
      <w:sz w:val="20"/>
      <w:szCs w:val="20"/>
      <w:lang w:val="x-none" w:eastAsia="ar-SA"/>
    </w:rPr>
  </w:style>
  <w:style w:type="character" w:customStyle="1" w:styleId="Char">
    <w:name w:val="نص حاشية سفلية Char"/>
    <w:aliases w:val="Footnote Text Char"/>
    <w:link w:val="a3"/>
    <w:uiPriority w:val="99"/>
    <w:rsid w:val="00777A72"/>
    <w:rPr>
      <w:rFonts w:ascii="Times New Roman" w:eastAsia="SimSun" w:hAnsi="Times New Roman" w:cs="Times New Roman"/>
      <w:sz w:val="20"/>
      <w:szCs w:val="20"/>
      <w:lang w:val="x-none" w:eastAsia="ar-SA"/>
    </w:rPr>
  </w:style>
  <w:style w:type="character" w:styleId="a4">
    <w:name w:val="footnote reference"/>
    <w:aliases w:val="Footnote Reference"/>
    <w:rsid w:val="00777A72"/>
    <w:rPr>
      <w:rFonts w:ascii="Times New Roman" w:hAnsi="Times New Roman" w:cs="Times New Roman"/>
      <w:vertAlign w:val="superscript"/>
    </w:rPr>
  </w:style>
  <w:style w:type="paragraph" w:styleId="a5">
    <w:name w:val="Normal (Web)"/>
    <w:basedOn w:val="a"/>
    <w:rsid w:val="00777A7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paragraph" w:customStyle="1" w:styleId="a6">
    <w:name w:val="تذييل صفحة"/>
    <w:aliases w:val="Footer"/>
    <w:basedOn w:val="a"/>
    <w:link w:val="Char0"/>
    <w:rsid w:val="00777A72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Char0">
    <w:name w:val="تذييل صفحة Char"/>
    <w:aliases w:val="Footer Char"/>
    <w:link w:val="a6"/>
    <w:rsid w:val="00777A72"/>
    <w:rPr>
      <w:rFonts w:ascii="Times New Roman" w:eastAsia="SimSun" w:hAnsi="Times New Roman" w:cs="Times New Roman"/>
      <w:color w:val="000000"/>
      <w:sz w:val="24"/>
      <w:szCs w:val="36"/>
      <w:lang w:val="x-none"/>
    </w:rPr>
  </w:style>
  <w:style w:type="character" w:customStyle="1" w:styleId="a7">
    <w:name w:val="رقم صفحة"/>
    <w:basedOn w:val="a0"/>
    <w:rsid w:val="00777A72"/>
  </w:style>
  <w:style w:type="character" w:customStyle="1" w:styleId="divx11">
    <w:name w:val="divx11"/>
    <w:rsid w:val="00777A72"/>
    <w:rPr>
      <w:color w:val="800000"/>
      <w:sz w:val="26"/>
      <w:szCs w:val="26"/>
    </w:rPr>
  </w:style>
  <w:style w:type="character" w:customStyle="1" w:styleId="Char1">
    <w:name w:val="تخريج آية Char"/>
    <w:link w:val="a8"/>
    <w:locked/>
    <w:rsid w:val="00777A72"/>
    <w:rPr>
      <w:rFonts w:cs="mylotus1"/>
      <w:lang w:bidi="ar-JO"/>
    </w:rPr>
  </w:style>
  <w:style w:type="paragraph" w:customStyle="1" w:styleId="a8">
    <w:name w:val="تخريج آية"/>
    <w:basedOn w:val="a"/>
    <w:link w:val="Char1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0"/>
      <w:lang w:val="x-none" w:eastAsia="x-none" w:bidi="ar-JO"/>
    </w:rPr>
  </w:style>
  <w:style w:type="character" w:customStyle="1" w:styleId="CharChar">
    <w:name w:val="الفقرة المعلقة Char Char"/>
    <w:link w:val="a9"/>
    <w:locked/>
    <w:rsid w:val="00777A72"/>
    <w:rPr>
      <w:rFonts w:cs="mylotus1"/>
      <w:szCs w:val="29"/>
      <w:lang w:val="x-none" w:bidi="ar-JO"/>
    </w:rPr>
  </w:style>
  <w:style w:type="paragraph" w:customStyle="1" w:styleId="a9">
    <w:name w:val="الفقرة المعلقة"/>
    <w:basedOn w:val="a"/>
    <w:link w:val="CharChar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9"/>
      <w:lang w:val="x-none" w:eastAsia="x-none" w:bidi="ar-JO"/>
    </w:rPr>
  </w:style>
  <w:style w:type="paragraph" w:styleId="aa">
    <w:name w:val="Balloon Text"/>
    <w:basedOn w:val="a"/>
    <w:link w:val="Char2"/>
    <w:uiPriority w:val="99"/>
    <w:semiHidden/>
    <w:unhideWhenUsed/>
    <w:rsid w:val="00777A7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a"/>
    <w:uiPriority w:val="99"/>
    <w:semiHidden/>
    <w:rsid w:val="00777A72"/>
    <w:rPr>
      <w:rFonts w:ascii="Tahoma" w:eastAsia="SimSun" w:hAnsi="Tahoma" w:cs="Tahoma"/>
      <w:color w:val="000000"/>
      <w:sz w:val="16"/>
      <w:szCs w:val="16"/>
    </w:rPr>
  </w:style>
  <w:style w:type="paragraph" w:customStyle="1" w:styleId="ab">
    <w:name w:val="رأس صفحة"/>
    <w:basedOn w:val="a"/>
    <w:link w:val="Char3"/>
    <w:uiPriority w:val="99"/>
    <w:semiHidden/>
    <w:unhideWhenUsed/>
    <w:rsid w:val="00755C1B"/>
    <w:pPr>
      <w:tabs>
        <w:tab w:val="center" w:pos="4153"/>
        <w:tab w:val="right" w:pos="8306"/>
      </w:tabs>
    </w:pPr>
  </w:style>
  <w:style w:type="character" w:customStyle="1" w:styleId="Char3">
    <w:name w:val="رأس صفحة Char"/>
    <w:link w:val="ab"/>
    <w:uiPriority w:val="99"/>
    <w:semiHidden/>
    <w:rsid w:val="00755C1B"/>
    <w:rPr>
      <w:rFonts w:ascii="Times New Roman" w:hAnsi="Times New Roman" w:cs="Traditional Arabic"/>
      <w:color w:val="000000"/>
      <w:sz w:val="24"/>
      <w:szCs w:val="36"/>
    </w:rPr>
  </w:style>
  <w:style w:type="character" w:customStyle="1" w:styleId="question">
    <w:name w:val="question"/>
    <w:rsid w:val="00564468"/>
  </w:style>
  <w:style w:type="paragraph" w:styleId="3">
    <w:name w:val="Body Text Indent 3"/>
    <w:basedOn w:val="a"/>
    <w:link w:val="3Char"/>
    <w:uiPriority w:val="99"/>
    <w:semiHidden/>
    <w:unhideWhenUsed/>
    <w:rsid w:val="00564468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3Char">
    <w:name w:val="نص أساسي بمسافة بادئة 3 Char"/>
    <w:link w:val="3"/>
    <w:uiPriority w:val="99"/>
    <w:semiHidden/>
    <w:rsid w:val="0056446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72"/>
    <w:pPr>
      <w:bidi/>
    </w:pPr>
    <w:rPr>
      <w:rFonts w:ascii="Times New Roman" w:hAnsi="Times New Roman" w:cs="Traditional Arabic"/>
      <w:color w:val="00000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ootnote Text"/>
    <w:basedOn w:val="a"/>
    <w:link w:val="Char"/>
    <w:uiPriority w:val="99"/>
    <w:rsid w:val="00777A72"/>
    <w:rPr>
      <w:rFonts w:cs="Times New Roman"/>
      <w:color w:val="auto"/>
      <w:sz w:val="20"/>
      <w:szCs w:val="20"/>
      <w:lang w:val="x-none" w:eastAsia="ar-SA"/>
    </w:rPr>
  </w:style>
  <w:style w:type="character" w:customStyle="1" w:styleId="Char">
    <w:name w:val="نص حاشية سفلية Char"/>
    <w:aliases w:val="Footnote Text Char"/>
    <w:link w:val="a3"/>
    <w:uiPriority w:val="99"/>
    <w:rsid w:val="00777A72"/>
    <w:rPr>
      <w:rFonts w:ascii="Times New Roman" w:eastAsia="SimSun" w:hAnsi="Times New Roman" w:cs="Times New Roman"/>
      <w:sz w:val="20"/>
      <w:szCs w:val="20"/>
      <w:lang w:val="x-none" w:eastAsia="ar-SA"/>
    </w:rPr>
  </w:style>
  <w:style w:type="character" w:styleId="a4">
    <w:name w:val="footnote reference"/>
    <w:aliases w:val="Footnote Reference"/>
    <w:rsid w:val="00777A72"/>
    <w:rPr>
      <w:rFonts w:ascii="Times New Roman" w:hAnsi="Times New Roman" w:cs="Times New Roman"/>
      <w:vertAlign w:val="superscript"/>
    </w:rPr>
  </w:style>
  <w:style w:type="paragraph" w:styleId="a5">
    <w:name w:val="Normal (Web)"/>
    <w:basedOn w:val="a"/>
    <w:rsid w:val="00777A7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paragraph" w:customStyle="1" w:styleId="a6">
    <w:name w:val="تذييل صفحة"/>
    <w:aliases w:val="Footer"/>
    <w:basedOn w:val="a"/>
    <w:link w:val="Char0"/>
    <w:rsid w:val="00777A72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Char0">
    <w:name w:val="تذييل صفحة Char"/>
    <w:aliases w:val="Footer Char"/>
    <w:link w:val="a6"/>
    <w:rsid w:val="00777A72"/>
    <w:rPr>
      <w:rFonts w:ascii="Times New Roman" w:eastAsia="SimSun" w:hAnsi="Times New Roman" w:cs="Times New Roman"/>
      <w:color w:val="000000"/>
      <w:sz w:val="24"/>
      <w:szCs w:val="36"/>
      <w:lang w:val="x-none"/>
    </w:rPr>
  </w:style>
  <w:style w:type="character" w:customStyle="1" w:styleId="a7">
    <w:name w:val="رقم صفحة"/>
    <w:basedOn w:val="a0"/>
    <w:rsid w:val="00777A72"/>
  </w:style>
  <w:style w:type="character" w:customStyle="1" w:styleId="divx11">
    <w:name w:val="divx11"/>
    <w:rsid w:val="00777A72"/>
    <w:rPr>
      <w:color w:val="800000"/>
      <w:sz w:val="26"/>
      <w:szCs w:val="26"/>
    </w:rPr>
  </w:style>
  <w:style w:type="character" w:customStyle="1" w:styleId="Char1">
    <w:name w:val="تخريج آية Char"/>
    <w:link w:val="a8"/>
    <w:locked/>
    <w:rsid w:val="00777A72"/>
    <w:rPr>
      <w:rFonts w:cs="mylotus1"/>
      <w:lang w:bidi="ar-JO"/>
    </w:rPr>
  </w:style>
  <w:style w:type="paragraph" w:customStyle="1" w:styleId="a8">
    <w:name w:val="تخريج آية"/>
    <w:basedOn w:val="a"/>
    <w:link w:val="Char1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0"/>
      <w:lang w:val="x-none" w:eastAsia="x-none" w:bidi="ar-JO"/>
    </w:rPr>
  </w:style>
  <w:style w:type="character" w:customStyle="1" w:styleId="CharChar">
    <w:name w:val="الفقرة المعلقة Char Char"/>
    <w:link w:val="a9"/>
    <w:locked/>
    <w:rsid w:val="00777A72"/>
    <w:rPr>
      <w:rFonts w:cs="mylotus1"/>
      <w:szCs w:val="29"/>
      <w:lang w:val="x-none" w:bidi="ar-JO"/>
    </w:rPr>
  </w:style>
  <w:style w:type="paragraph" w:customStyle="1" w:styleId="a9">
    <w:name w:val="الفقرة المعلقة"/>
    <w:basedOn w:val="a"/>
    <w:link w:val="CharChar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9"/>
      <w:lang w:val="x-none" w:eastAsia="x-none" w:bidi="ar-JO"/>
    </w:rPr>
  </w:style>
  <w:style w:type="paragraph" w:styleId="aa">
    <w:name w:val="Balloon Text"/>
    <w:basedOn w:val="a"/>
    <w:link w:val="Char2"/>
    <w:uiPriority w:val="99"/>
    <w:semiHidden/>
    <w:unhideWhenUsed/>
    <w:rsid w:val="00777A7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a"/>
    <w:uiPriority w:val="99"/>
    <w:semiHidden/>
    <w:rsid w:val="00777A72"/>
    <w:rPr>
      <w:rFonts w:ascii="Tahoma" w:eastAsia="SimSun" w:hAnsi="Tahoma" w:cs="Tahoma"/>
      <w:color w:val="000000"/>
      <w:sz w:val="16"/>
      <w:szCs w:val="16"/>
    </w:rPr>
  </w:style>
  <w:style w:type="paragraph" w:customStyle="1" w:styleId="ab">
    <w:name w:val="رأس صفحة"/>
    <w:basedOn w:val="a"/>
    <w:link w:val="Char3"/>
    <w:uiPriority w:val="99"/>
    <w:semiHidden/>
    <w:unhideWhenUsed/>
    <w:rsid w:val="00755C1B"/>
    <w:pPr>
      <w:tabs>
        <w:tab w:val="center" w:pos="4153"/>
        <w:tab w:val="right" w:pos="8306"/>
      </w:tabs>
    </w:pPr>
  </w:style>
  <w:style w:type="character" w:customStyle="1" w:styleId="Char3">
    <w:name w:val="رأس صفحة Char"/>
    <w:link w:val="ab"/>
    <w:uiPriority w:val="99"/>
    <w:semiHidden/>
    <w:rsid w:val="00755C1B"/>
    <w:rPr>
      <w:rFonts w:ascii="Times New Roman" w:hAnsi="Times New Roman" w:cs="Traditional Arabic"/>
      <w:color w:val="000000"/>
      <w:sz w:val="24"/>
      <w:szCs w:val="36"/>
    </w:rPr>
  </w:style>
  <w:style w:type="character" w:customStyle="1" w:styleId="question">
    <w:name w:val="question"/>
    <w:rsid w:val="00564468"/>
  </w:style>
  <w:style w:type="paragraph" w:styleId="3">
    <w:name w:val="Body Text Indent 3"/>
    <w:basedOn w:val="a"/>
    <w:link w:val="3Char"/>
    <w:uiPriority w:val="99"/>
    <w:semiHidden/>
    <w:unhideWhenUsed/>
    <w:rsid w:val="00564468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3Char">
    <w:name w:val="نص أساسي بمسافة بادئة 3 Char"/>
    <w:link w:val="3"/>
    <w:uiPriority w:val="99"/>
    <w:semiHidden/>
    <w:rsid w:val="005644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islamhouse.com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允许利用观测仪器寻见新月，而不是计算</vt:lpstr>
    </vt:vector>
  </TitlesOfParts>
  <Company>islamhouse.com</Company>
  <LinksUpToDate>false</LinksUpToDate>
  <CharactersWithSpaces>1077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应当寻见新月，不应用天文计算法</dc:title>
  <dc:subject>应当寻见新月，不应用天文计算法</dc:subject>
  <dc:creator>穆罕默德·刷利哈·艾勒穆南基德</dc:creator>
  <cp:keywords>应当寻见新月，不应用天文计算法</cp:keywords>
  <dc:description>应当寻见新月，不应用天文计算法</dc:description>
  <cp:lastModifiedBy>alazhary</cp:lastModifiedBy>
  <cp:revision>5</cp:revision>
  <dcterms:created xsi:type="dcterms:W3CDTF">2012-05-14T03:27:00Z</dcterms:created>
  <dcterms:modified xsi:type="dcterms:W3CDTF">2012-05-14T04:44:00Z</dcterms:modified>
</cp:coreProperties>
</file>