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455" w:rsidRDefault="00A3144D" w:rsidP="00EB6455">
      <w:pPr>
        <w:bidi w:val="0"/>
        <w:jc w:val="center"/>
        <w:rPr>
          <w:rFonts w:ascii="Arial" w:hAnsi="Arial" w:cs="Arial"/>
          <w:b/>
          <w:bCs/>
          <w:sz w:val="52"/>
          <w:szCs w:val="52"/>
          <w:lang w:eastAsia="zh-CN"/>
        </w:rPr>
      </w:pPr>
      <w:r>
        <w:rPr>
          <w:rFonts w:ascii="Arial" w:hAnsi="Arial" w:cs="Arial"/>
          <w:b/>
          <w:bCs/>
          <w:noProof/>
          <w:sz w:val="52"/>
          <w:szCs w:val="52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315pt;margin-top:3.3pt;width:140.75pt;height:35.2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" fillcolor="white [3201]" stroked="f" strokeweight=".5pt">
            <v:path arrowok="t"/>
            <v:textbox>
              <w:txbxContent>
                <w:p w:rsidR="00DF5A57" w:rsidRPr="00C70045" w:rsidRDefault="00DF5A57" w:rsidP="00DF5A57">
                  <w:pPr>
                    <w:jc w:val="center"/>
                    <w:rPr>
                      <w:i/>
                      <w:iCs/>
                      <w:u w:val="single"/>
                    </w:rPr>
                  </w:pPr>
                  <w:r w:rsidRPr="003B55D3">
                    <w:rPr>
                      <w:rFonts w:hint="cs"/>
                      <w:i/>
                      <w:iCs/>
                      <w:sz w:val="40"/>
                      <w:szCs w:val="40"/>
                      <w:u w:val="single"/>
                      <w:rtl/>
                    </w:rPr>
                    <w:t>فتوى</w:t>
                  </w:r>
                  <w:r w:rsidRPr="003B55D3">
                    <w:rPr>
                      <w:rFonts w:hint="cs"/>
                      <w:i/>
                      <w:iCs/>
                      <w:sz w:val="32"/>
                      <w:szCs w:val="32"/>
                      <w:u w:val="single"/>
                      <w:rtl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 xml:space="preserve"> </w:t>
                  </w:r>
                  <w:proofErr w:type="spellStart"/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>教法判例</w:t>
                  </w:r>
                  <w:proofErr w:type="spellEnd"/>
                </w:p>
              </w:txbxContent>
            </v:textbox>
          </v:shape>
        </w:pict>
      </w: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rtl/>
          <w:lang w:eastAsia="zh-CN"/>
        </w:rPr>
      </w:pP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lang w:eastAsia="zh-CN"/>
        </w:rPr>
      </w:pPr>
    </w:p>
    <w:p w:rsidR="000E431B" w:rsidRDefault="000E431B" w:rsidP="00274430">
      <w:pPr>
        <w:bidi w:val="0"/>
        <w:spacing w:beforeLines="50"/>
        <w:jc w:val="center"/>
        <w:rPr>
          <w:rFonts w:ascii="SimSun" w:hAnsi="SimSun" w:cs="SimSun"/>
          <w:b/>
          <w:bCs/>
          <w:color w:val="1F497D" w:themeColor="text2"/>
          <w:sz w:val="48"/>
          <w:szCs w:val="48"/>
          <w:lang w:eastAsia="zh-CN"/>
        </w:rPr>
      </w:pPr>
      <w:r w:rsidRPr="000E431B">
        <w:rPr>
          <w:rFonts w:ascii="SimSun" w:hAnsi="SimSun" w:cs="SimSun" w:hint="eastAsia"/>
          <w:b/>
          <w:bCs/>
          <w:color w:val="1F497D" w:themeColor="text2"/>
          <w:sz w:val="48"/>
          <w:szCs w:val="48"/>
          <w:lang w:eastAsia="zh-CN"/>
        </w:rPr>
        <w:t>先知（愿主福安之）在节日拜中的指导</w:t>
      </w:r>
    </w:p>
    <w:p w:rsidR="00EB6455" w:rsidRDefault="00EB6455" w:rsidP="000E431B">
      <w:pPr>
        <w:bidi w:val="0"/>
        <w:spacing w:beforeLines="5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]</w:t>
      </w:r>
      <w:r w:rsidRPr="00962983">
        <w:rPr>
          <w:rFonts w:ascii="Tahoma" w:eastAsia="MS UI Gothic" w:hAnsi="Tahoma" w:cs="Tahoma"/>
          <w:b/>
          <w:bCs/>
          <w:sz w:val="32"/>
          <w:szCs w:val="32"/>
          <w:lang w:eastAsia="zh-CN"/>
        </w:rPr>
        <w:t xml:space="preserve"> </w:t>
      </w:r>
      <w:r w:rsidRPr="00962983">
        <w:rPr>
          <w:rFonts w:ascii="SimSun" w:hAnsi="SimSun" w:cs="Tahoma" w:hint="eastAsia"/>
          <w:b/>
          <w:bCs/>
          <w:sz w:val="32"/>
          <w:szCs w:val="32"/>
          <w:lang w:eastAsia="zh-CN"/>
        </w:rPr>
        <w:t>中文</w:t>
      </w: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[</w:t>
      </w:r>
      <w:r w:rsidRPr="00962983">
        <w:rPr>
          <w:rFonts w:ascii="Courier New" w:hAnsi="Courier New" w:cs="Courier New"/>
          <w:b/>
          <w:bCs/>
          <w:sz w:val="32"/>
          <w:szCs w:val="32"/>
          <w:lang w:eastAsia="zh-CN"/>
        </w:rPr>
        <w:t xml:space="preserve"> </w:t>
      </w:r>
    </w:p>
    <w:p w:rsidR="00EE484A" w:rsidRPr="00962983" w:rsidRDefault="00EE484A" w:rsidP="00EE484A">
      <w:pPr>
        <w:bidi w:val="0"/>
        <w:spacing w:beforeLines="50"/>
        <w:jc w:val="center"/>
        <w:rPr>
          <w:rFonts w:ascii="Tahoma" w:eastAsia="MS UI Gothic" w:hAnsi="Tahoma" w:cs="Tahoma"/>
          <w:b/>
          <w:bCs/>
          <w:sz w:val="32"/>
          <w:szCs w:val="32"/>
          <w:lang w:eastAsia="zh-CN" w:bidi="ar-EG"/>
        </w:rPr>
      </w:pPr>
    </w:p>
    <w:p w:rsidR="00EB6455" w:rsidRDefault="00EB6455" w:rsidP="00EB6455">
      <w:pPr>
        <w:bidi w:val="0"/>
        <w:jc w:val="center"/>
        <w:rPr>
          <w:rFonts w:ascii="Courier New" w:hAnsi="Courier New" w:cs="Courier New"/>
          <w:b/>
          <w:bCs/>
          <w:szCs w:val="24"/>
          <w:lang w:eastAsia="zh-CN"/>
        </w:rPr>
      </w:pPr>
    </w:p>
    <w:p w:rsidR="000E431B" w:rsidRPr="00983C22" w:rsidRDefault="000E431B" w:rsidP="000E431B">
      <w:pPr>
        <w:bidi w:val="0"/>
        <w:spacing w:after="65"/>
        <w:jc w:val="center"/>
        <w:outlineLvl w:val="3"/>
        <w:rPr>
          <w:rFonts w:ascii="Helvetica" w:eastAsia="Times New Roman" w:hAnsi="Helvetica" w:cs="Times New Roman"/>
          <w:b/>
          <w:bCs/>
          <w:color w:val="1F497D" w:themeColor="text2"/>
          <w:sz w:val="48"/>
          <w:szCs w:val="48"/>
        </w:rPr>
      </w:pPr>
      <w:r w:rsidRPr="00983C22">
        <w:rPr>
          <w:rFonts w:ascii="Helvetica" w:eastAsia="Times New Roman" w:hAnsi="Helvetica" w:cs="Times New Roman"/>
          <w:b/>
          <w:bCs/>
          <w:color w:val="1F497D" w:themeColor="text2"/>
          <w:sz w:val="48"/>
          <w:szCs w:val="48"/>
          <w:rtl/>
        </w:rPr>
        <w:t>هديه صلى الله عليه وسلم في صلاة العيدين</w:t>
      </w:r>
    </w:p>
    <w:p w:rsidR="00EB6455" w:rsidRPr="00962983" w:rsidRDefault="00EB6455" w:rsidP="00EB6455">
      <w:pPr>
        <w:bidi w:val="0"/>
        <w:jc w:val="center"/>
        <w:rPr>
          <w:rFonts w:ascii="Courier New" w:hAnsi="Courier New" w:cs="Courier New"/>
          <w:b/>
          <w:bCs/>
          <w:sz w:val="36"/>
        </w:rPr>
      </w:pP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[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ب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>اللغة ا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لصينية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]</w:t>
      </w: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Pr="00962983" w:rsidRDefault="00A60587" w:rsidP="00A60587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40"/>
          <w:szCs w:val="40"/>
          <w:lang w:val="tr-TR" w:eastAsia="zh-CN"/>
        </w:rPr>
      </w:pPr>
      <w:r w:rsidRPr="00962983">
        <w:rPr>
          <w:rFonts w:ascii="STXingkai" w:eastAsia="STXingkai"/>
          <w:b/>
          <w:bCs/>
          <w:sz w:val="40"/>
          <w:szCs w:val="40"/>
          <w:lang w:eastAsia="zh-CN"/>
        </w:rPr>
        <w:t>伊斯兰问答网站</w:t>
      </w:r>
    </w:p>
    <w:p w:rsidR="00EB6455" w:rsidRPr="00962983" w:rsidRDefault="00A60587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4"/>
          <w:szCs w:val="44"/>
          <w:lang w:bidi="ar-EG"/>
        </w:rPr>
      </w:pPr>
      <w:r w:rsidRPr="00962983">
        <w:rPr>
          <w:rFonts w:ascii="mylotus" w:hAnsi="mylotus" w:cs="mylotus" w:hint="cs"/>
          <w:b/>
          <w:bCs/>
          <w:sz w:val="44"/>
          <w:szCs w:val="44"/>
          <w:rtl/>
          <w:lang w:bidi="ar-EG"/>
        </w:rPr>
        <w:t>موقع</w:t>
      </w:r>
      <w:r w:rsidRPr="00962983">
        <w:rPr>
          <w:rFonts w:ascii="mylotus" w:hAnsi="mylotus" w:cs="mylotus"/>
          <w:b/>
          <w:bCs/>
          <w:sz w:val="44"/>
          <w:szCs w:val="44"/>
          <w:rtl/>
          <w:lang w:bidi="ar-EG"/>
        </w:rPr>
        <w:t xml:space="preserve"> الإسلام سؤال وجواب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E484A">
      <w:pPr>
        <w:bidi w:val="0"/>
        <w:spacing w:line="240" w:lineRule="exact"/>
        <w:rPr>
          <w:rFonts w:ascii="mylotus" w:hAnsi="mylotus" w:cs="mylotus"/>
          <w:b/>
          <w:bCs/>
          <w:sz w:val="28"/>
          <w:szCs w:val="28"/>
          <w:lang w:eastAsia="zh-CN"/>
        </w:rPr>
      </w:pPr>
    </w:p>
    <w:p w:rsidR="00EB6455" w:rsidRPr="00D04B88" w:rsidRDefault="00A60587" w:rsidP="00856385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36"/>
          <w:lang w:eastAsia="zh-CN"/>
        </w:rPr>
      </w:pPr>
      <w:r w:rsidRPr="00D04B88">
        <w:rPr>
          <w:rFonts w:ascii="STXinwei" w:eastAsia="STXinwei" w:hAnsi="Calibri" w:cs="KFGQPC Uthman Taha Naskh" w:hint="eastAsia"/>
          <w:b/>
          <w:bCs/>
          <w:color w:val="auto"/>
          <w:sz w:val="36"/>
          <w:lang w:eastAsia="zh-CN"/>
        </w:rPr>
        <w:t>编审</w:t>
      </w:r>
      <w:r w:rsidR="00EB6455" w:rsidRPr="00D04B88">
        <w:rPr>
          <w:rFonts w:ascii="STXingkai" w:eastAsia="STXingkai" w:hAnsi="TR Bahamas Light"/>
          <w:b/>
          <w:bCs/>
          <w:color w:val="auto"/>
          <w:sz w:val="36"/>
          <w:lang w:val="tr-TR" w:eastAsia="zh-CN"/>
        </w:rPr>
        <w:t>:</w:t>
      </w:r>
      <w:r w:rsidR="00EB6455" w:rsidRPr="00D04B88">
        <w:rPr>
          <w:rFonts w:ascii="TR Bahamas Light" w:hAnsi="TR Bahamas Light" w:cs="mylotus"/>
          <w:b/>
          <w:bCs/>
          <w:sz w:val="36"/>
          <w:lang w:eastAsia="zh-CN"/>
        </w:rPr>
        <w:t xml:space="preserve"> </w:t>
      </w:r>
      <w:r w:rsidR="00856385" w:rsidRPr="00D04B88">
        <w:rPr>
          <w:rFonts w:asciiTheme="minorEastAsia" w:eastAsiaTheme="minorEastAsia" w:hAnsiTheme="minorEastAsia" w:hint="eastAsia"/>
          <w:kern w:val="28"/>
          <w:sz w:val="36"/>
          <w:lang w:eastAsia="zh-CN"/>
        </w:rPr>
        <w:t>伊斯兰之家中文小组</w:t>
      </w:r>
    </w:p>
    <w:p w:rsidR="00EB6455" w:rsidRPr="00962983" w:rsidRDefault="00EB6455" w:rsidP="0085638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</w:rPr>
      </w:pP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مراجعة</w:t>
      </w:r>
      <w:r w:rsidRPr="00962983">
        <w:rPr>
          <w:rFonts w:ascii="mylotus" w:hAnsi="mylotus" w:cs="mylotus"/>
          <w:b/>
          <w:bCs/>
          <w:sz w:val="40"/>
          <w:szCs w:val="40"/>
          <w:rtl/>
        </w:rPr>
        <w:t xml:space="preserve">: </w:t>
      </w:r>
      <w:r w:rsidR="00856385" w:rsidRPr="00962983">
        <w:rPr>
          <w:rFonts w:ascii="mylotus" w:hAnsi="mylotus" w:cs="KFGQPC Uthman Taha Naskh" w:hint="cs"/>
          <w:sz w:val="40"/>
          <w:szCs w:val="40"/>
          <w:rtl/>
          <w:lang w:bidi="ar-EG"/>
        </w:rPr>
        <w:t>فريق اللغة الصينية بموقع دار الإسلام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Pr="0007149E" w:rsidRDefault="00EB6455" w:rsidP="00EB6455">
      <w:pPr>
        <w:bidi w:val="0"/>
        <w:spacing w:line="240" w:lineRule="exact"/>
        <w:jc w:val="center"/>
        <w:rPr>
          <w:rFonts w:ascii="STXingkai" w:eastAsia="STXingkai" w:hAnsi="TR Bahamas Light"/>
          <w:b/>
          <w:bCs/>
          <w:color w:val="800000"/>
          <w:sz w:val="48"/>
          <w:szCs w:val="48"/>
          <w:lang w:val="tr-TR"/>
        </w:rPr>
      </w:pP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TR Bahamas Light" w:hAnsi="TR Bahamas Light" w:cs="mylotus"/>
          <w:b/>
          <w:bCs/>
          <w:sz w:val="36"/>
          <w:lang w:eastAsia="zh-CN"/>
        </w:rPr>
      </w:pPr>
      <w:r w:rsidRPr="00962983">
        <w:rPr>
          <w:rFonts w:ascii="STXingkai" w:eastAsia="STXingkai" w:hint="eastAsia"/>
          <w:b/>
          <w:bCs/>
          <w:sz w:val="36"/>
          <w:lang w:eastAsia="zh-CN"/>
        </w:rPr>
        <w:t>沙特利雅得莱布宣传指导合作办公室</w:t>
      </w: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  <w:rtl/>
        </w:rPr>
      </w:pPr>
      <w:r w:rsidRPr="00F954E8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المكتب التعاوني للدعوة وتوعية الجاليات بالربوة بمدينة الرياض</w:t>
      </w:r>
    </w:p>
    <w:p w:rsidR="00EB6455" w:rsidRDefault="00EB6455" w:rsidP="00BF236A">
      <w:pPr>
        <w:bidi w:val="0"/>
        <w:spacing w:before="120" w:after="120"/>
        <w:ind w:firstLine="567"/>
        <w:jc w:val="center"/>
        <w:rPr>
          <w:rFonts w:ascii="MS UI Gothic" w:eastAsiaTheme="minorEastAsia" w:hAnsi="MS UI Gothic" w:cs="Times New Roman"/>
          <w:b/>
          <w:bCs/>
          <w:sz w:val="36"/>
          <w:lang w:eastAsia="zh-CN"/>
        </w:rPr>
      </w:pPr>
      <w:r w:rsidRPr="00962983">
        <w:rPr>
          <w:rFonts w:ascii="MS UI Gothic" w:eastAsia="MS UI Gothic" w:hAnsi="MS UI Gothic" w:cs="Times New Roman"/>
          <w:b/>
          <w:bCs/>
          <w:sz w:val="36"/>
        </w:rPr>
        <w:t>201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4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</w:t>
      </w:r>
      <w:r w:rsidR="00EE484A">
        <w:rPr>
          <w:rFonts w:ascii="MS UI Gothic" w:eastAsia="MS UI Gothic" w:hAnsi="MS UI Gothic" w:cs="Times New Roman"/>
          <w:b/>
          <w:bCs/>
          <w:sz w:val="36"/>
        </w:rPr>
        <w:t>–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14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3</w:t>
      </w:r>
      <w:r w:rsidR="00BF236A">
        <w:rPr>
          <w:rFonts w:ascii="MS UI Gothic" w:eastAsiaTheme="minorEastAsia" w:hAnsi="MS UI Gothic" w:cs="Times New Roman"/>
          <w:b/>
          <w:bCs/>
          <w:sz w:val="36"/>
          <w:lang w:eastAsia="zh-CN"/>
        </w:rPr>
        <w:t>6</w:t>
      </w:r>
    </w:p>
    <w:p w:rsidR="00EB6455" w:rsidRDefault="00EB6455" w:rsidP="00EB6455">
      <w:pPr>
        <w:bidi w:val="0"/>
        <w:spacing w:before="120" w:after="120"/>
        <w:ind w:firstLine="567"/>
        <w:jc w:val="center"/>
        <w:rPr>
          <w:rFonts w:ascii="Tahoma" w:hAnsi="Tahoma" w:cs="Tahoma"/>
          <w:rtl/>
        </w:rPr>
      </w:pPr>
      <w:r>
        <w:rPr>
          <w:rFonts w:ascii="MS UI Gothic" w:eastAsia="MS UI Gothic" w:hAnsi="MS UI Gothic" w:cs="Times New Roman"/>
          <w:b/>
          <w:bCs/>
          <w:noProof/>
          <w:sz w:val="32"/>
          <w:szCs w:val="32"/>
        </w:rPr>
        <w:drawing>
          <wp:inline distT="0" distB="0" distL="0" distR="0">
            <wp:extent cx="3553691" cy="581891"/>
            <wp:effectExtent l="0" t="0" r="0" b="8890"/>
            <wp:docPr id="4" name="图片 4" descr="C:\Documents and Settings\apomosap\My Documents\My Pictures\logo_islamhouse.t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pomosap\My Documents\My Pictures\logo_islamhouse.t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58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587" w:rsidRDefault="00A60587">
      <w:pPr>
        <w:bidi w:val="0"/>
        <w:rPr>
          <w:rFonts w:ascii="Calibri" w:hAnsi="Calibri" w:cs="KFGQPC Uthman Taha Naskh"/>
          <w:b/>
          <w:bCs/>
          <w:color w:val="800000"/>
          <w:sz w:val="40"/>
          <w:szCs w:val="40"/>
          <w:rtl/>
          <w:lang w:eastAsia="zh-CN"/>
        </w:rPr>
      </w:pPr>
      <w:r>
        <w:rPr>
          <w:rFonts w:ascii="Calibri" w:hAnsi="Calibri" w:cs="KFGQPC Uthman Taha Naskh"/>
          <w:b/>
          <w:bCs/>
          <w:color w:val="800000"/>
          <w:sz w:val="40"/>
          <w:szCs w:val="40"/>
          <w:rtl/>
          <w:lang w:eastAsia="zh-CN"/>
        </w:rPr>
        <w:br w:type="page"/>
      </w:r>
    </w:p>
    <w:p w:rsidR="00A60587" w:rsidRPr="00A60587" w:rsidRDefault="00A60587" w:rsidP="00A60587">
      <w:pPr>
        <w:spacing w:after="200" w:line="276" w:lineRule="auto"/>
        <w:jc w:val="center"/>
        <w:rPr>
          <w:rFonts w:ascii="Calibri" w:hAnsi="Calibri" w:cs="Arial"/>
          <w:color w:val="auto"/>
          <w:sz w:val="22"/>
          <w:szCs w:val="22"/>
          <w:lang w:eastAsia="zh-CN"/>
        </w:rPr>
      </w:pPr>
      <w:r w:rsidRPr="00A60587">
        <w:rPr>
          <w:rFonts w:ascii="Calibri" w:hAnsi="Calibri" w:cs="Arial"/>
          <w:noProof/>
          <w:color w:val="auto"/>
          <w:sz w:val="22"/>
          <w:szCs w:val="22"/>
        </w:rPr>
        <w:lastRenderedPageBreak/>
        <w:drawing>
          <wp:inline distT="0" distB="0" distL="0" distR="0">
            <wp:extent cx="2059131" cy="489789"/>
            <wp:effectExtent l="19050" t="0" r="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181" cy="49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08" w:rsidRPr="006412A0" w:rsidRDefault="008C1908" w:rsidP="008C1908">
      <w:pPr>
        <w:spacing w:beforeLines="50" w:afterLines="5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  <w:r w:rsidRPr="006412A0">
        <w:rPr>
          <w:rFonts w:ascii="KaiTi" w:eastAsia="KaiTi" w:hAnsi="KaiTi" w:cs="KFGQPC Uthman Taha Naskh" w:hint="eastAsia"/>
          <w:b/>
          <w:bCs/>
          <w:color w:val="333399"/>
          <w:sz w:val="32"/>
          <w:szCs w:val="32"/>
          <w:lang w:eastAsia="zh-CN"/>
        </w:rPr>
        <w:t>奉普慈特慈的真主之名</w:t>
      </w:r>
    </w:p>
    <w:p w:rsidR="00A60587" w:rsidRPr="00A60587" w:rsidRDefault="00A60587" w:rsidP="008C1908">
      <w:pPr>
        <w:bidi w:val="0"/>
        <w:spacing w:beforeLines="50" w:afterLines="50" w:line="460" w:lineRule="exact"/>
        <w:jc w:val="center"/>
        <w:rPr>
          <w:rFonts w:ascii="STXingkai" w:eastAsia="STXingkai" w:hAnsi="Calibri" w:cs="KFGQPC Uthman Taha Naskh"/>
          <w:b/>
          <w:bCs/>
          <w:color w:val="333399"/>
          <w:sz w:val="32"/>
          <w:szCs w:val="32"/>
          <w:lang w:eastAsia="zh-CN"/>
        </w:rPr>
      </w:pPr>
    </w:p>
    <w:p w:rsidR="000E431B" w:rsidRPr="000E431B" w:rsidRDefault="000E431B" w:rsidP="000E431B">
      <w:pPr>
        <w:shd w:val="clear" w:color="auto" w:fill="FFFFFF"/>
        <w:bidi w:val="0"/>
        <w:spacing w:after="65"/>
        <w:jc w:val="center"/>
        <w:outlineLvl w:val="3"/>
        <w:rPr>
          <w:rFonts w:asciiTheme="minorEastAsia" w:eastAsiaTheme="minorEastAsia" w:hAnsiTheme="minorEastAsia" w:cs="Tahoma"/>
          <w:b/>
          <w:bCs/>
          <w:color w:val="000000" w:themeColor="text1"/>
          <w:sz w:val="36"/>
          <w:lang w:eastAsia="zh-CN"/>
        </w:rPr>
      </w:pPr>
      <w:r w:rsidRPr="000E431B">
        <w:rPr>
          <w:rFonts w:asciiTheme="minorEastAsia" w:eastAsiaTheme="minorEastAsia" w:hAnsiTheme="minorEastAsia" w:cs="SimSun" w:hint="eastAsia"/>
          <w:b/>
          <w:bCs/>
          <w:color w:val="000000" w:themeColor="text1"/>
          <w:sz w:val="36"/>
          <w:lang w:eastAsia="zh-CN"/>
        </w:rPr>
        <w:t>先知（愿主福安之）在节日拜中的指</w:t>
      </w:r>
      <w:r w:rsidRPr="000E431B">
        <w:rPr>
          <w:rFonts w:asciiTheme="minorEastAsia" w:eastAsiaTheme="minorEastAsia" w:hAnsiTheme="minorEastAsia" w:cs="SimSun"/>
          <w:b/>
          <w:bCs/>
          <w:color w:val="000000" w:themeColor="text1"/>
          <w:sz w:val="36"/>
          <w:lang w:eastAsia="zh-CN"/>
        </w:rPr>
        <w:t>导</w:t>
      </w:r>
    </w:p>
    <w:p w:rsidR="000E431B" w:rsidRPr="000E431B" w:rsidRDefault="000E431B" w:rsidP="000E431B">
      <w:pPr>
        <w:shd w:val="clear" w:color="auto" w:fill="FFFFFF"/>
        <w:bidi w:val="0"/>
        <w:spacing w:before="262" w:after="262" w:line="262" w:lineRule="atLeast"/>
        <w:jc w:val="both"/>
        <w:rPr>
          <w:rFonts w:asciiTheme="minorEastAsia" w:eastAsiaTheme="minorEastAsia" w:hAnsiTheme="minorEastAsia" w:cs="Tahoma"/>
          <w:color w:val="000000" w:themeColor="text1"/>
          <w:sz w:val="36"/>
        </w:rPr>
      </w:pPr>
    </w:p>
    <w:p w:rsidR="000E431B" w:rsidRDefault="000E431B" w:rsidP="000E431B">
      <w:pPr>
        <w:shd w:val="clear" w:color="auto" w:fill="FFFFFF"/>
        <w:bidi w:val="0"/>
        <w:spacing w:line="480" w:lineRule="auto"/>
        <w:jc w:val="both"/>
        <w:rPr>
          <w:rFonts w:asciiTheme="minorEastAsia" w:eastAsiaTheme="minorEastAsia" w:hAnsiTheme="minorEastAsia" w:cs="Microsoft YaHei"/>
          <w:b/>
          <w:bCs/>
          <w:color w:val="FF0000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lang w:eastAsia="zh-CN"/>
        </w:rPr>
        <w:t>问：</w:t>
      </w:r>
      <w:r w:rsidRPr="000E431B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lang w:eastAsia="zh-CN"/>
        </w:rPr>
        <w:t>我想了解一下先知（愿主福安之）在节日拜中的</w:t>
      </w:r>
    </w:p>
    <w:p w:rsidR="000E431B" w:rsidRPr="000E431B" w:rsidRDefault="000E431B" w:rsidP="000E431B">
      <w:pPr>
        <w:shd w:val="clear" w:color="auto" w:fill="FFFFFF"/>
        <w:bidi w:val="0"/>
        <w:spacing w:line="480" w:lineRule="auto"/>
        <w:jc w:val="both"/>
        <w:rPr>
          <w:rFonts w:asciiTheme="minorEastAsia" w:eastAsiaTheme="minorEastAsia" w:hAnsiTheme="minorEastAsia" w:cs="Tahoma"/>
          <w:b/>
          <w:bCs/>
          <w:color w:val="FF0000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lang w:eastAsia="zh-CN"/>
        </w:rPr>
        <w:t xml:space="preserve">    </w:t>
      </w:r>
      <w:r w:rsidRPr="000E431B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lang w:eastAsia="zh-CN"/>
        </w:rPr>
        <w:t>指导</w:t>
      </w:r>
      <w:r w:rsidRPr="000E431B">
        <w:rPr>
          <w:rFonts w:asciiTheme="minorEastAsia" w:eastAsiaTheme="minorEastAsia" w:hAnsiTheme="minorEastAsia" w:cs="Microsoft YaHei"/>
          <w:b/>
          <w:bCs/>
          <w:color w:val="FF0000"/>
          <w:sz w:val="36"/>
          <w:lang w:eastAsia="zh-CN"/>
        </w:rPr>
        <w:t>。</w:t>
      </w:r>
    </w:p>
    <w:p w:rsidR="000E431B" w:rsidRPr="000E431B" w:rsidRDefault="000E431B" w:rsidP="000E431B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答：</w:t>
      </w:r>
      <w:r w:rsidRPr="000E431B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一切赞颂，全归真主</w:t>
      </w:r>
      <w:r w:rsidRPr="000E431B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0E431B" w:rsidRPr="000E431B" w:rsidRDefault="000E431B" w:rsidP="000E431B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Pr="000E431B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先知（愿主福安之）在荒郊的场地做节日拜，先知（愿主福安之）没有在先知清真寺中做节日拜。伊玛目沙菲尔（愿主怜悯之）在《乌姆》中说：</w:t>
      </w:r>
      <w:r w:rsidRPr="000E431B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0E431B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我们得知真主的使者（愿主福安之）在两个节日到麦地那的荒郊去做节日拜，他之后的执政者也都一样，下雨等特殊情况例外；除麦加人之外，全国的人都到荒郊去做节日拜。</w:t>
      </w:r>
      <w:r w:rsidRPr="000E431B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</w:p>
    <w:p w:rsidR="000E431B" w:rsidRPr="000E431B" w:rsidRDefault="000E431B" w:rsidP="000E431B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Pr="000E431B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真主的使者（愿主福安之）出去做节日拜的时候，穿着最漂亮的衣服；真主的使者（愿主福安之）有一</w:t>
      </w:r>
      <w:r w:rsidRPr="000E431B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lastRenderedPageBreak/>
        <w:t>套专门在节日和聚礼日穿的礼服。（礼服就是用同样的料子做的两件衣服。</w:t>
      </w:r>
      <w:r w:rsidRPr="000E431B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）</w:t>
      </w:r>
    </w:p>
    <w:p w:rsidR="000E431B" w:rsidRPr="000E431B" w:rsidRDefault="000E431B" w:rsidP="000E431B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Pr="000E431B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真主的使者（愿主福安之）在开斋节的早晨出去做节日拜之前先吃几枚单数的椰枣</w:t>
      </w:r>
      <w:r w:rsidRPr="000E431B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；</w:t>
      </w:r>
    </w:p>
    <w:p w:rsidR="000E431B" w:rsidRPr="000E431B" w:rsidRDefault="000E431B" w:rsidP="000E431B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Pr="000E431B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《布哈里圣训实录》（</w:t>
      </w:r>
      <w:r w:rsidRPr="000E431B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953</w:t>
      </w:r>
      <w:r w:rsidRPr="000E431B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段）辑录：艾奈斯</w:t>
      </w:r>
      <w:r w:rsidRPr="000E431B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•</w:t>
      </w:r>
      <w:r w:rsidRPr="000E431B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本</w:t>
      </w:r>
      <w:r w:rsidRPr="000E431B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•</w:t>
      </w:r>
      <w:r w:rsidRPr="000E431B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马力克（愿主喜悦之）传述：真主的使者（愿主福安之）在开斋节的早晨先吃几枚单数的椰枣，然后才出去做节日拜</w:t>
      </w:r>
      <w:r w:rsidRPr="000E431B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0E431B" w:rsidRPr="000E431B" w:rsidRDefault="000E431B" w:rsidP="000E431B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Pr="000E431B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伊本</w:t>
      </w:r>
      <w:r w:rsidRPr="000E431B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•</w:t>
      </w:r>
      <w:r w:rsidRPr="000E431B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古达麦（愿主怜悯之）说：</w:t>
      </w:r>
      <w:r w:rsidRPr="000E431B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0E431B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据我们所知，在开斋节的早晨先吃点东西是可嘉的行为，学者们对此没有任何异议。</w:t>
      </w:r>
      <w:r w:rsidRPr="000E431B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</w:p>
    <w:p w:rsidR="000E431B" w:rsidRPr="000E431B" w:rsidRDefault="000E431B" w:rsidP="000E431B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Pr="000E431B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在做节日拜之前先吃点东西的哲理就是：以免有人误以为在完成节日拜之前必须要斋戒</w:t>
      </w:r>
      <w:r w:rsidRPr="000E431B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 xml:space="preserve"> </w:t>
      </w:r>
      <w:r w:rsidRPr="000E431B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；积极主动地服从真主的命令，在完成斋戒之后马上开斋</w:t>
      </w:r>
      <w:r w:rsidRPr="000E431B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0E431B" w:rsidRPr="000E431B" w:rsidRDefault="000E431B" w:rsidP="000E431B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lastRenderedPageBreak/>
        <w:t xml:space="preserve">    </w:t>
      </w:r>
      <w:r w:rsidRPr="000E431B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穆斯林如果没有找到椰枣，可以用任何东西开斋，喝一些水也可以，目的在于遵循圣行，就是在开斋节的节日拜之前开斋</w:t>
      </w:r>
      <w:r w:rsidRPr="000E431B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0E431B" w:rsidRPr="000E431B" w:rsidRDefault="000E431B" w:rsidP="000E431B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Pr="000E431B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至于在宰牲节的早晨，真主的使者（愿主福安之）不吃任何东西，直到完成节日拜，从荒郊的场地回来以后吃一些所宰的牺牲的肉</w:t>
      </w:r>
      <w:r w:rsidRPr="000E431B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0E431B" w:rsidRPr="000E431B" w:rsidRDefault="000E431B" w:rsidP="000E431B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Pr="000E431B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真主的使者（愿主福安之）专门为节日而洗大净。伊本</w:t>
      </w:r>
      <w:r w:rsidRPr="000E431B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•</w:t>
      </w:r>
      <w:r w:rsidRPr="000E431B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甘伊姆（愿主怜悯之）说这两段圣训的传述是微弱的，但是可以肯定的是伊本</w:t>
      </w:r>
      <w:r w:rsidRPr="000E431B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•</w:t>
      </w:r>
      <w:r w:rsidRPr="000E431B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欧麦尔（愿主喜悦之）非常严格地遵循圣行，他在节日出去做节日拜之前专门洗大净</w:t>
      </w:r>
      <w:r w:rsidRPr="000E431B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0E431B" w:rsidRPr="000E431B" w:rsidRDefault="000E431B" w:rsidP="000E431B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Pr="000E431B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真主的使者（愿主福安之）去做节日拜的时候，来去都是步行的</w:t>
      </w:r>
      <w:r w:rsidRPr="000E431B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0E431B" w:rsidRPr="000E431B" w:rsidRDefault="000E431B" w:rsidP="000E431B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</w:t>
      </w:r>
      <w:r w:rsidRPr="000E431B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《伊本</w:t>
      </w:r>
      <w:r w:rsidRPr="000E431B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•</w:t>
      </w:r>
      <w:r w:rsidRPr="000E431B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马哲圣训实录》（</w:t>
      </w:r>
      <w:r w:rsidRPr="000E431B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1295</w:t>
      </w:r>
      <w:r w:rsidRPr="000E431B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段）辑录：伊本</w:t>
      </w:r>
      <w:r w:rsidRPr="000E431B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•</w:t>
      </w:r>
      <w:r w:rsidRPr="000E431B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欧麦尔（愿主喜悦之）传述：真主的使者（愿主福安</w:t>
      </w:r>
      <w:r w:rsidRPr="000E431B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lastRenderedPageBreak/>
        <w:t>之）去做节日拜的时候步行，返回的时候也是步行。艾利巴尼在《伊本</w:t>
      </w:r>
      <w:r w:rsidRPr="000E431B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•</w:t>
      </w:r>
      <w:r w:rsidRPr="000E431B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马哲圣训实录》中认为这是正确的圣训</w:t>
      </w:r>
      <w:r w:rsidRPr="000E431B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0E431B" w:rsidRPr="000E431B" w:rsidRDefault="000E431B" w:rsidP="000E431B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0E431B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 </w:t>
      </w:r>
      <w:r>
        <w:rPr>
          <w:rFonts w:asciiTheme="minorEastAsia" w:eastAsiaTheme="minorEastAsia" w:hAnsiTheme="minorEastAsia" w:cs="Tahoma" w:hint="eastAsia"/>
          <w:color w:val="000000" w:themeColor="text1"/>
          <w:sz w:val="36"/>
          <w:lang w:eastAsia="zh-CN"/>
        </w:rPr>
        <w:t xml:space="preserve">  </w:t>
      </w:r>
      <w:r w:rsidRPr="000E431B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《提尔米基圣训实录》（</w:t>
      </w:r>
      <w:r w:rsidRPr="000E431B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530</w:t>
      </w:r>
      <w:r w:rsidRPr="000E431B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段）辑录：阿里</w:t>
      </w:r>
      <w:r w:rsidRPr="000E431B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•</w:t>
      </w:r>
      <w:r w:rsidRPr="000E431B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本</w:t>
      </w:r>
      <w:r w:rsidRPr="000E431B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•</w:t>
      </w:r>
      <w:r w:rsidRPr="000E431B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艾布</w:t>
      </w:r>
      <w:r w:rsidRPr="000E431B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•</w:t>
      </w:r>
      <w:r w:rsidRPr="000E431B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塔里布（愿主喜悦之）传述：步行去做节日拜是圣行。艾利巴尼在《提尔米基圣训实录》中认为这是正确的圣训</w:t>
      </w:r>
      <w:r w:rsidRPr="000E431B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0E431B" w:rsidRPr="000E431B" w:rsidRDefault="000E431B" w:rsidP="000E431B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Pr="000E431B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提尔米基（愿主怜悯之）说：</w:t>
      </w:r>
      <w:r w:rsidRPr="000E431B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0E431B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大部分学者遵循这段圣训，他们认为步行去做节日拜是可嘉的行为，步行有困难的人可以骑乘。</w:t>
      </w:r>
      <w:r w:rsidRPr="000E431B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</w:p>
    <w:p w:rsidR="000E431B" w:rsidRPr="000E431B" w:rsidRDefault="000E431B" w:rsidP="000E431B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Pr="000E431B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真主的使者（愿主福安之）如果到了荒郊做礼拜的场地，直接做节日拜，没有念宣礼，也没有念成拜词，也没有念</w:t>
      </w:r>
      <w:r w:rsidRPr="000E431B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0E431B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大家一起快来做礼拜</w:t>
      </w:r>
      <w:r w:rsidRPr="000E431B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Pr="000E431B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，不念上述的这些召唤词才是符合圣行的做法</w:t>
      </w:r>
      <w:r w:rsidRPr="000E431B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0E431B" w:rsidRPr="000E431B" w:rsidRDefault="000E431B" w:rsidP="000E431B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lastRenderedPageBreak/>
        <w:t xml:space="preserve">    </w:t>
      </w:r>
      <w:r w:rsidRPr="000E431B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真主的使者（愿主福安之）在荒郊做礼拜的场地，在节日拜之前和之后没有做其它的任何礼拜</w:t>
      </w:r>
      <w:r w:rsidRPr="000E431B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0E431B" w:rsidRPr="000E431B" w:rsidRDefault="000E431B" w:rsidP="000E431B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Pr="000E431B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真主的使者（愿主福安之）先做节日拜，然后演讲（胡图白）。真主的使者（愿主福安之）做两拜节日拜，在第一拜中连续念七次</w:t>
      </w:r>
      <w:r w:rsidRPr="000E431B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0E431B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泰克比尔</w:t>
      </w:r>
      <w:r w:rsidRPr="000E431B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Pr="000E431B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，包括开拜的和其它的</w:t>
      </w:r>
      <w:r w:rsidRPr="000E431B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0E431B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泰克比尔</w:t>
      </w:r>
      <w:r w:rsidRPr="000E431B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Pr="000E431B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，在每两个</w:t>
      </w:r>
      <w:r w:rsidRPr="000E431B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0E431B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泰克比尔</w:t>
      </w:r>
      <w:r w:rsidRPr="000E431B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Pr="000E431B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之间稍微停顿一下，在</w:t>
      </w:r>
      <w:r w:rsidRPr="000E431B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0E431B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泰克比尔</w:t>
      </w:r>
      <w:r w:rsidRPr="000E431B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Pr="000E431B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之间没有专门的祈祷词，但是据伊本</w:t>
      </w:r>
      <w:r w:rsidRPr="000E431B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•</w:t>
      </w:r>
      <w:r w:rsidRPr="000E431B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麦斯欧德（愿主喜悦之）传述：可以念</w:t>
      </w:r>
      <w:r w:rsidRPr="000E431B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0E431B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一切赞颂，全归真主；颂扬真主；祝福先知（愿主福安之）。</w:t>
      </w:r>
      <w:r w:rsidRPr="000E431B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</w:p>
    <w:p w:rsidR="000E431B" w:rsidRPr="000E431B" w:rsidRDefault="000E431B" w:rsidP="000E431B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Pr="000E431B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伊本</w:t>
      </w:r>
      <w:r w:rsidRPr="000E431B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•</w:t>
      </w:r>
      <w:r w:rsidRPr="000E431B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欧麦尔（愿主喜悦之）非常严格地遵循圣行，他在念每一个</w:t>
      </w:r>
      <w:r w:rsidRPr="000E431B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0E431B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泰克比尔</w:t>
      </w:r>
      <w:r w:rsidRPr="000E431B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Pr="000E431B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的时候都要升高两手</w:t>
      </w:r>
      <w:r w:rsidRPr="000E431B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0E431B" w:rsidRPr="000E431B" w:rsidRDefault="000E431B" w:rsidP="000E431B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0E431B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真主的使者（愿主福安之）如果念了七次</w:t>
      </w:r>
      <w:r w:rsidRPr="000E431B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0E431B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泰克比尔</w:t>
      </w:r>
      <w:r w:rsidRPr="000E431B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Pr="000E431B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，就开始诵读经文，他首先诵读《开端章》，然后在第一拜中诵读《嘎夫章》（</w:t>
      </w:r>
      <w:r w:rsidRPr="000E431B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50</w:t>
      </w:r>
      <w:r w:rsidRPr="000E431B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章），在第二拜中诵读《月</w:t>
      </w:r>
      <w:r w:rsidRPr="000E431B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lastRenderedPageBreak/>
        <w:t>亮章》（</w:t>
      </w:r>
      <w:r w:rsidRPr="000E431B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54</w:t>
      </w:r>
      <w:r w:rsidRPr="000E431B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章）；或者诵读《至高章》（</w:t>
      </w:r>
      <w:r w:rsidRPr="000E431B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87</w:t>
      </w:r>
      <w:r w:rsidRPr="000E431B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章）和《大灾章》（</w:t>
      </w:r>
      <w:r w:rsidRPr="000E431B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88</w:t>
      </w:r>
      <w:r w:rsidRPr="000E431B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章），这两种传述都是正确的，其余的传述都是不正确的；如果诵读了经文，就念</w:t>
      </w:r>
      <w:r w:rsidRPr="000E431B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0E431B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泰克比尔</w:t>
      </w:r>
      <w:r w:rsidRPr="000E431B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Pr="000E431B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，然后鞠躬、叩头，做完了第一拜之后站起来，连续念五次</w:t>
      </w:r>
      <w:r w:rsidRPr="000E431B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0E431B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泰克比尔</w:t>
      </w:r>
      <w:r w:rsidRPr="000E431B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Pr="000E431B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，念完了</w:t>
      </w:r>
      <w:r w:rsidRPr="000E431B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0E431B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泰克比尔</w:t>
      </w:r>
      <w:r w:rsidRPr="000E431B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Pr="000E431B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，又开始诵读经文。真主的使者（愿主福安之）在两拜当中都是以</w:t>
      </w:r>
      <w:r w:rsidRPr="000E431B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0E431B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泰克比尔</w:t>
      </w:r>
      <w:r w:rsidRPr="000E431B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Pr="000E431B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开始，然后诵读经文，然后鞠躬和叩头</w:t>
      </w:r>
      <w:r w:rsidRPr="000E431B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0E431B" w:rsidRPr="000E431B" w:rsidRDefault="000E431B" w:rsidP="000E431B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</w:t>
      </w:r>
      <w:r w:rsidRPr="000E431B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《提尔米基圣训实录》辑录：凯西尔</w:t>
      </w:r>
      <w:r w:rsidRPr="000E431B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•</w:t>
      </w:r>
      <w:r w:rsidRPr="000E431B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本</w:t>
      </w:r>
      <w:r w:rsidRPr="000E431B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•</w:t>
      </w:r>
      <w:r w:rsidRPr="000E431B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阿卜杜拉</w:t>
      </w:r>
      <w:r w:rsidRPr="000E431B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•</w:t>
      </w:r>
      <w:r w:rsidRPr="000E431B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本</w:t>
      </w:r>
      <w:r w:rsidRPr="000E431B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•</w:t>
      </w:r>
      <w:r w:rsidRPr="000E431B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阿穆尔</w:t>
      </w:r>
      <w:r w:rsidRPr="000E431B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•</w:t>
      </w:r>
      <w:r w:rsidRPr="000E431B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本</w:t>
      </w:r>
      <w:r w:rsidRPr="000E431B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•</w:t>
      </w:r>
      <w:r w:rsidRPr="000E431B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奥夫通过他的父亲和爷爷传述：真主的使者（愿主福安之）在节日拜的第一拜中先念了七次</w:t>
      </w:r>
      <w:r w:rsidRPr="000E431B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0E431B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泰克比尔</w:t>
      </w:r>
      <w:r w:rsidRPr="000E431B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Pr="000E431B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，然后诵读经文；第二拜中先念了五次</w:t>
      </w:r>
      <w:r w:rsidRPr="000E431B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0E431B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泰克比尔</w:t>
      </w:r>
      <w:r w:rsidRPr="000E431B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Pr="000E431B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，然后诵读经文。提尔米基说：</w:t>
      </w:r>
      <w:r w:rsidRPr="000E431B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0E431B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我向穆罕默德（就是布哈里）询问这一段圣训的情况。他说在这一章中没有比这段圣训更加正确的圣训。我也这样认为。</w:t>
      </w:r>
      <w:r w:rsidRPr="000E431B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</w:p>
    <w:p w:rsidR="000E431B" w:rsidRPr="000E431B" w:rsidRDefault="000E431B" w:rsidP="000E431B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lastRenderedPageBreak/>
        <w:t xml:space="preserve">    </w:t>
      </w:r>
      <w:r w:rsidRPr="000E431B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真主的使者（愿主福安之）如果完成了节日拜，就转身站起来面对穆斯林大众。人们坐在各的行列中，真主的使者（愿主福安之）劝诫他们、嘱咐他们、发布命令和禁止，如果需要派遣使节，他就派遣使节；如果需要下达命令，他就下达命令</w:t>
      </w:r>
      <w:r w:rsidRPr="000E431B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 xml:space="preserve"> </w:t>
      </w:r>
      <w:r w:rsidRPr="000E431B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0E431B" w:rsidRPr="000E431B" w:rsidRDefault="000E431B" w:rsidP="000E431B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Pr="000E431B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在荒郊的场地没有可以站上去的演讲台，也没有把麦地那的演讲台挪到礼拜的场地，真主的使者（愿主福安之）这是站在地上向众人演讲。扎比尔（愿主喜悦之）传述：我曾经和使者（愿主福安之）一起参加了节日，完成了节日拜。使者（愿主福安之）先做节日拜，没有</w:t>
      </w:r>
      <w:r w:rsidRPr="000E431B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念</w:t>
      </w:r>
    </w:p>
    <w:p w:rsidR="000E431B" w:rsidRPr="000E431B" w:rsidRDefault="000E431B" w:rsidP="000E431B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Pr="000E431B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宣礼和成拜词，他完成节日拜之后站起来靠着比俩里念</w:t>
      </w:r>
      <w:r w:rsidRPr="000E431B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0E431B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胡土白</w:t>
      </w:r>
      <w:r w:rsidRPr="000E431B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Pr="000E431B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，命令人敬畏真主，鼓励人顺从真主，劝诫众人，教化他们，然后来到妇女们的跟前，</w:t>
      </w:r>
      <w:r w:rsidRPr="000E431B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lastRenderedPageBreak/>
        <w:t>劝诫她们，教化她们。布哈里和穆斯林共同辑录的圣训</w:t>
      </w:r>
      <w:r w:rsidRPr="000E431B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0E431B" w:rsidRPr="000E431B" w:rsidRDefault="000E431B" w:rsidP="000E431B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Pr="000E431B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艾布</w:t>
      </w:r>
      <w:r w:rsidRPr="000E431B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•</w:t>
      </w:r>
      <w:r w:rsidRPr="000E431B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赛义德</w:t>
      </w:r>
      <w:r w:rsidRPr="000E431B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•</w:t>
      </w:r>
      <w:r w:rsidRPr="000E431B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胡德利（愿主喜悦之）传述：使者（愿主福安之）在开斋节和宰牲节出去到荒郊的场地，首先做节日拜，然后转身站起来面对穆斯林大众，人们坐在各自的行列中。这是穆斯林辑录的圣训</w:t>
      </w:r>
      <w:r w:rsidRPr="000E431B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0E431B" w:rsidRPr="000E431B" w:rsidRDefault="000E431B" w:rsidP="000E431B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Pr="000E431B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真主的使者（愿主福安之）以</w:t>
      </w:r>
      <w:r w:rsidRPr="000E431B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0E431B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一切赞颂，全归真主</w:t>
      </w:r>
      <w:r w:rsidRPr="000E431B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Pr="000E431B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开始所有的演讲，没有一段圣训说明真主的使者（愿主福安之）以</w:t>
      </w:r>
      <w:r w:rsidRPr="000E431B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0E431B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泰克比尔</w:t>
      </w:r>
      <w:r w:rsidRPr="000E431B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Pr="000E431B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开始节日的胡图白（演讲）。唯有伊本</w:t>
      </w:r>
      <w:r w:rsidRPr="000E431B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•</w:t>
      </w:r>
      <w:r w:rsidRPr="000E431B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马哲在《伊本</w:t>
      </w:r>
      <w:r w:rsidRPr="000E431B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•</w:t>
      </w:r>
      <w:r w:rsidRPr="000E431B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马哲圣训实录》（</w:t>
      </w:r>
      <w:r w:rsidRPr="000E431B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1287</w:t>
      </w:r>
      <w:r w:rsidRPr="000E431B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段）中辑录：真主的使者（愿主福安之）的宣礼员赛尔德</w:t>
      </w:r>
      <w:r w:rsidRPr="000E431B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•</w:t>
      </w:r>
      <w:r w:rsidRPr="000E431B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格尔祖传述：真主的使者（愿主福安之）在许多胡图白当中念</w:t>
      </w:r>
      <w:r w:rsidRPr="000E431B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0E431B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泰克比尔</w:t>
      </w:r>
      <w:r w:rsidRPr="000E431B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Pr="000E431B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，尤其在节日的胡图白中多次念</w:t>
      </w:r>
      <w:r w:rsidRPr="000E431B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0E431B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泰克比尔</w:t>
      </w:r>
      <w:r w:rsidRPr="000E431B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Pr="000E431B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。艾利巴尼在《伊本</w:t>
      </w:r>
      <w:r w:rsidRPr="000E431B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•</w:t>
      </w:r>
      <w:r w:rsidRPr="000E431B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马哲微弱的圣训》中认为这是微弱的圣训，尽管这是微弱</w:t>
      </w:r>
      <w:r w:rsidRPr="000E431B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lastRenderedPageBreak/>
        <w:t>的圣训，它也没有证明真主的使者（愿主福安之）以</w:t>
      </w:r>
      <w:r w:rsidRPr="000E431B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0E431B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泰克比尔</w:t>
      </w:r>
      <w:r w:rsidRPr="000E431B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Pr="000E431B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开始节日的胡图白</w:t>
      </w:r>
      <w:r w:rsidRPr="000E431B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0E431B" w:rsidRPr="000E431B" w:rsidRDefault="000E431B" w:rsidP="000E431B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Pr="000E431B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在《完善恩典》中说：</w:t>
      </w:r>
      <w:r w:rsidRPr="000E431B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0E431B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这段圣训没有证明真主的使者（愿主福安之）以</w:t>
      </w:r>
      <w:r w:rsidRPr="000E431B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0E431B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泰克比尔</w:t>
      </w:r>
      <w:r w:rsidRPr="000E431B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Pr="000E431B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开始节日的胡图白。它的传述系统是微弱的，其中有一个不可靠的人和另一个无名人氏。所以不能以此作为在胡图白当中念</w:t>
      </w:r>
      <w:r w:rsidRPr="000E431B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0E431B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泰克比尔</w:t>
      </w:r>
      <w:r w:rsidRPr="000E431B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Pr="000E431B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是圣行的证据。</w:t>
      </w:r>
      <w:r w:rsidRPr="000E431B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</w:p>
    <w:p w:rsidR="000E431B" w:rsidRPr="000E431B" w:rsidRDefault="000E431B" w:rsidP="000E431B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Pr="000E431B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伊本</w:t>
      </w:r>
      <w:r w:rsidRPr="000E431B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•</w:t>
      </w:r>
      <w:r w:rsidRPr="000E431B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甘伊姆（愿主怜悯之）说：</w:t>
      </w:r>
      <w:r w:rsidRPr="000E431B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0E431B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人们对节日的胡图白和求雨拜的胡图白的开首词有所分歧，有的认为是</w:t>
      </w:r>
      <w:r w:rsidRPr="000E431B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0E431B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泰克比尔</w:t>
      </w:r>
      <w:r w:rsidRPr="000E431B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Pr="000E431B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；有的认为求雨拜的胡图白的开首词是</w:t>
      </w:r>
      <w:r w:rsidRPr="000E431B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0E431B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求主饶恕</w:t>
      </w:r>
      <w:r w:rsidRPr="000E431B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Pr="000E431B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，有的认为是</w:t>
      </w:r>
      <w:r w:rsidRPr="000E431B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0E431B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一切赞颂，全归真主。</w:t>
      </w:r>
      <w:r w:rsidRPr="000E431B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Pr="000E431B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伊斯兰的谢赫伊本</w:t>
      </w:r>
      <w:r w:rsidRPr="000E431B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•</w:t>
      </w:r>
      <w:r w:rsidRPr="000E431B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泰米业（愿主怜悯之）认为这是最正确的。真主的使者（愿主福安之）把</w:t>
      </w:r>
      <w:r w:rsidRPr="000E431B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0E431B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一切赞颂，全归真主</w:t>
      </w:r>
      <w:r w:rsidRPr="000E431B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Pr="000E431B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作为所有演讲的开首词。</w:t>
      </w:r>
      <w:r w:rsidRPr="000E431B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</w:p>
    <w:p w:rsidR="000E431B" w:rsidRPr="000E431B" w:rsidRDefault="000E431B" w:rsidP="000E431B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lastRenderedPageBreak/>
        <w:t xml:space="preserve">    </w:t>
      </w:r>
      <w:r w:rsidRPr="000E431B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真主的使者（愿主福安之）允许参加节日的人们可以坐下来听胡图白，也可以离开</w:t>
      </w:r>
      <w:r w:rsidRPr="000E431B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0E431B" w:rsidRPr="000E431B" w:rsidRDefault="000E431B" w:rsidP="000E431B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Pr="000E431B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艾布</w:t>
      </w:r>
      <w:r w:rsidRPr="000E431B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•</w:t>
      </w:r>
      <w:r w:rsidRPr="000E431B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达伍德辑录的圣训：阿塔伊通过阿卜杜拉</w:t>
      </w:r>
      <w:r w:rsidRPr="000E431B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•</w:t>
      </w:r>
      <w:r w:rsidRPr="000E431B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本</w:t>
      </w:r>
      <w:r w:rsidRPr="000E431B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•</w:t>
      </w:r>
      <w:r w:rsidRPr="000E431B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萨伊布（愿主喜悦他俩）传述：我和先知（愿主福安之）一起参加了节日，礼拜结束之后他说：</w:t>
      </w:r>
      <w:r w:rsidRPr="000E431B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0E431B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我们现在要念胡图白，谁愿意坐下来听胡图白，就让他坐下来；谁愿意离开，就让他离开。</w:t>
      </w:r>
      <w:r w:rsidRPr="000E431B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Pr="000E431B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艾利巴尼在《艾布</w:t>
      </w:r>
      <w:r w:rsidRPr="000E431B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•</w:t>
      </w:r>
      <w:r w:rsidRPr="000E431B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达伍德圣训实录》中认为这是正确的圣训</w:t>
      </w:r>
      <w:r w:rsidRPr="000E431B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0E431B" w:rsidRPr="000E431B" w:rsidRDefault="000E431B" w:rsidP="000E431B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Pr="000E431B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真主的使者（愿主福安之）去做节日拜的时候，来回的道路不一样，去的时候走一条道路，回来的时候走另外的一条道路</w:t>
      </w:r>
      <w:r w:rsidRPr="000E431B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0E431B" w:rsidRPr="000E431B" w:rsidRDefault="000E431B" w:rsidP="000E431B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Pr="000E431B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《布哈里圣训实录》（</w:t>
      </w:r>
      <w:r w:rsidRPr="000E431B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986</w:t>
      </w:r>
      <w:r w:rsidRPr="000E431B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段）辑录：扎比尔</w:t>
      </w:r>
      <w:r w:rsidRPr="000E431B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•</w:t>
      </w:r>
      <w:r w:rsidRPr="000E431B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本</w:t>
      </w:r>
      <w:r w:rsidRPr="000E431B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•</w:t>
      </w:r>
      <w:r w:rsidRPr="000E431B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阿卜杜拉（愿主喜悦之）传述：先知（愿主福安之）如果去做节日拜的时候，来回的道路不一样，就是说去的时候走一条道路，回来的时候走另外的一条道路</w:t>
      </w:r>
      <w:r w:rsidRPr="000E431B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0E431B" w:rsidRPr="000E431B" w:rsidRDefault="000E431B" w:rsidP="000E431B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0E431B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lastRenderedPageBreak/>
        <w:t> </w:t>
      </w:r>
    </w:p>
    <w:p w:rsidR="000E431B" w:rsidRPr="000E431B" w:rsidRDefault="000E431B" w:rsidP="000E431B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</w:rPr>
      </w:pPr>
      <w:proofErr w:type="spellStart"/>
      <w:r w:rsidRPr="000E431B">
        <w:rPr>
          <w:rFonts w:asciiTheme="minorEastAsia" w:eastAsiaTheme="minorEastAsia" w:hAnsiTheme="minorEastAsia" w:cs="Microsoft YaHei" w:hint="eastAsia"/>
          <w:color w:val="000000" w:themeColor="text1"/>
          <w:sz w:val="36"/>
        </w:rPr>
        <w:t>真主至知</w:t>
      </w:r>
      <w:proofErr w:type="spellEnd"/>
      <w:r w:rsidRPr="000E431B">
        <w:rPr>
          <w:rFonts w:asciiTheme="minorEastAsia" w:eastAsiaTheme="minorEastAsia" w:hAnsiTheme="minorEastAsia" w:cs="Microsoft YaHei"/>
          <w:color w:val="000000" w:themeColor="text1"/>
          <w:sz w:val="36"/>
        </w:rPr>
        <w:t>！</w:t>
      </w:r>
    </w:p>
    <w:p w:rsidR="00A60587" w:rsidRPr="00A60587" w:rsidRDefault="00A60587" w:rsidP="00A60587">
      <w:pPr>
        <w:shd w:val="clear" w:color="auto" w:fill="FFFFFF"/>
        <w:bidi w:val="0"/>
        <w:spacing w:after="120" w:line="480" w:lineRule="auto"/>
        <w:jc w:val="both"/>
        <w:rPr>
          <w:rFonts w:ascii="SimSun" w:hAnsi="SimSun" w:cs="Tahoma"/>
          <w:b/>
          <w:bCs/>
          <w:color w:val="auto"/>
          <w:sz w:val="28"/>
          <w:szCs w:val="28"/>
          <w:lang w:eastAsia="zh-CN"/>
        </w:rPr>
      </w:pPr>
    </w:p>
    <w:sectPr w:rsidR="00A60587" w:rsidRPr="00A60587" w:rsidSect="00156EB3">
      <w:footerReference w:type="even" r:id="rId10"/>
      <w:footerReference w:type="default" r:id="rId11"/>
      <w:footnotePr>
        <w:numFmt w:val="decimalEnclosedCircleChinese"/>
        <w:numRestart w:val="eachPage"/>
      </w:footnotePr>
      <w:pgSz w:w="11906" w:h="16838"/>
      <w:pgMar w:top="719" w:right="1800" w:bottom="899" w:left="1800" w:header="708" w:footer="708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62B7" w:rsidRDefault="006D62B7" w:rsidP="00EB6455">
      <w:r>
        <w:separator/>
      </w:r>
    </w:p>
  </w:endnote>
  <w:endnote w:type="continuationSeparator" w:id="0">
    <w:p w:rsidR="006D62B7" w:rsidRDefault="006D62B7" w:rsidP="00EB64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STXingkai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TR Bahamas Light">
    <w:altName w:val="Arial"/>
    <w:panose1 w:val="020B0500000000000000"/>
    <w:charset w:val="00"/>
    <w:family w:val="swiss"/>
    <w:pitch w:val="variable"/>
    <w:sig w:usb0="00000005" w:usb1="00000000" w:usb2="00000000" w:usb3="00000000" w:csb0="0000001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TXinwei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331" w:rsidRDefault="00A3144D" w:rsidP="007C2C4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DB44B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C5331" w:rsidRDefault="006D62B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EB3" w:rsidRDefault="00A3144D" w:rsidP="00140785">
    <w:pPr>
      <w:pStyle w:val="Footer"/>
      <w:jc w:val="center"/>
      <w:rPr>
        <w:sz w:val="28"/>
        <w:szCs w:val="28"/>
        <w:lang w:bidi="ar-EG"/>
      </w:rPr>
    </w:pPr>
    <w:r w:rsidRPr="00923817">
      <w:rPr>
        <w:sz w:val="28"/>
        <w:szCs w:val="28"/>
      </w:rPr>
      <w:fldChar w:fldCharType="begin"/>
    </w:r>
    <w:r w:rsidR="00DB44B1" w:rsidRPr="00923817">
      <w:rPr>
        <w:sz w:val="28"/>
        <w:szCs w:val="28"/>
      </w:rPr>
      <w:instrText xml:space="preserve"> PAGE  \* Arabic  \* MERGEFORMAT </w:instrText>
    </w:r>
    <w:r w:rsidRPr="00923817">
      <w:rPr>
        <w:sz w:val="28"/>
        <w:szCs w:val="28"/>
      </w:rPr>
      <w:fldChar w:fldCharType="separate"/>
    </w:r>
    <w:r w:rsidR="00BF236A">
      <w:rPr>
        <w:noProof/>
        <w:sz w:val="28"/>
        <w:szCs w:val="28"/>
      </w:rPr>
      <w:t>12</w:t>
    </w:r>
    <w:r w:rsidRPr="00923817">
      <w:rPr>
        <w:sz w:val="28"/>
        <w:szCs w:val="28"/>
      </w:rPr>
      <w:fldChar w:fldCharType="end"/>
    </w:r>
  </w:p>
  <w:p w:rsidR="005C5331" w:rsidRPr="00156EB3" w:rsidRDefault="006D62B7" w:rsidP="00156EB3">
    <w:pPr>
      <w:pStyle w:val="Footer"/>
      <w:rPr>
        <w:lang w:bidi="ar-E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62B7" w:rsidRDefault="006D62B7" w:rsidP="00EB6455">
      <w:r>
        <w:separator/>
      </w:r>
    </w:p>
  </w:footnote>
  <w:footnote w:type="continuationSeparator" w:id="0">
    <w:p w:rsidR="006D62B7" w:rsidRDefault="006D62B7" w:rsidP="00EB64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8130"/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6455"/>
    <w:rsid w:val="00035EBD"/>
    <w:rsid w:val="0007618C"/>
    <w:rsid w:val="000777D6"/>
    <w:rsid w:val="000E431B"/>
    <w:rsid w:val="00122361"/>
    <w:rsid w:val="00157B23"/>
    <w:rsid w:val="001743FA"/>
    <w:rsid w:val="0019347C"/>
    <w:rsid w:val="001B6333"/>
    <w:rsid w:val="002350D4"/>
    <w:rsid w:val="00274430"/>
    <w:rsid w:val="002804F9"/>
    <w:rsid w:val="002A30C7"/>
    <w:rsid w:val="0031151D"/>
    <w:rsid w:val="00352158"/>
    <w:rsid w:val="003B55D3"/>
    <w:rsid w:val="00442CC2"/>
    <w:rsid w:val="00462A59"/>
    <w:rsid w:val="00482F6F"/>
    <w:rsid w:val="004E1EA8"/>
    <w:rsid w:val="005056E6"/>
    <w:rsid w:val="005C6719"/>
    <w:rsid w:val="005F220A"/>
    <w:rsid w:val="0061619F"/>
    <w:rsid w:val="00616C3E"/>
    <w:rsid w:val="006412A0"/>
    <w:rsid w:val="00657854"/>
    <w:rsid w:val="0066117B"/>
    <w:rsid w:val="006D5DD9"/>
    <w:rsid w:val="006D62B7"/>
    <w:rsid w:val="007B587A"/>
    <w:rsid w:val="00844DDF"/>
    <w:rsid w:val="00856385"/>
    <w:rsid w:val="008B2286"/>
    <w:rsid w:val="008C1908"/>
    <w:rsid w:val="0093085A"/>
    <w:rsid w:val="00935B96"/>
    <w:rsid w:val="00945734"/>
    <w:rsid w:val="00962983"/>
    <w:rsid w:val="009750B0"/>
    <w:rsid w:val="009D344A"/>
    <w:rsid w:val="00A11098"/>
    <w:rsid w:val="00A2494F"/>
    <w:rsid w:val="00A3144D"/>
    <w:rsid w:val="00A3521C"/>
    <w:rsid w:val="00A60587"/>
    <w:rsid w:val="00B83686"/>
    <w:rsid w:val="00BC1D95"/>
    <w:rsid w:val="00BF236A"/>
    <w:rsid w:val="00C11F71"/>
    <w:rsid w:val="00C1227F"/>
    <w:rsid w:val="00C5412A"/>
    <w:rsid w:val="00CC3482"/>
    <w:rsid w:val="00CD6F06"/>
    <w:rsid w:val="00CD733C"/>
    <w:rsid w:val="00D04B88"/>
    <w:rsid w:val="00D15E7D"/>
    <w:rsid w:val="00D36432"/>
    <w:rsid w:val="00D860D2"/>
    <w:rsid w:val="00DB44B1"/>
    <w:rsid w:val="00DC4991"/>
    <w:rsid w:val="00DC54D7"/>
    <w:rsid w:val="00DF5A57"/>
    <w:rsid w:val="00E13455"/>
    <w:rsid w:val="00EB6455"/>
    <w:rsid w:val="00EE484A"/>
    <w:rsid w:val="00F7578E"/>
    <w:rsid w:val="00FD1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455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2804F9"/>
    <w:pPr>
      <w:bidi w:val="0"/>
      <w:spacing w:before="100" w:beforeAutospacing="1" w:after="100" w:afterAutospacing="1"/>
      <w:outlineLvl w:val="3"/>
    </w:pPr>
    <w:rPr>
      <w:rFonts w:eastAsia="Times New Roman" w:cs="Times New Roman"/>
      <w:b/>
      <w:bCs/>
      <w:color w:val="auto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EB6455"/>
    <w:rPr>
      <w:rFonts w:ascii="Times New Roman" w:eastAsia="SimSun" w:hAnsi="Times New Roman" w:cs="Times New Roman"/>
      <w:kern w:val="0"/>
      <w:sz w:val="20"/>
      <w:szCs w:val="20"/>
      <w:lang w:eastAsia="ar-SA"/>
    </w:rPr>
  </w:style>
  <w:style w:type="character" w:styleId="FootnoteReference">
    <w:name w:val="footnote reference"/>
    <w:basedOn w:val="DefaultParagraphFont"/>
    <w:semiHidden/>
    <w:rsid w:val="00EB6455"/>
    <w:rPr>
      <w:rFonts w:ascii="Times New Roman" w:hAnsi="Times New Roman" w:cs="Times New Roman"/>
      <w:vertAlign w:val="superscript"/>
    </w:rPr>
  </w:style>
  <w:style w:type="paragraph" w:styleId="Footer">
    <w:name w:val="footer"/>
    <w:basedOn w:val="Normal"/>
    <w:link w:val="FooterChar"/>
    <w:rsid w:val="00EB64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B6455"/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character" w:styleId="PageNumber">
    <w:name w:val="page number"/>
    <w:basedOn w:val="DefaultParagraphFont"/>
    <w:rsid w:val="00EB6455"/>
  </w:style>
  <w:style w:type="paragraph" w:styleId="BalloonText">
    <w:name w:val="Balloon Text"/>
    <w:basedOn w:val="Normal"/>
    <w:link w:val="BalloonTextChar"/>
    <w:uiPriority w:val="99"/>
    <w:semiHidden/>
    <w:unhideWhenUsed/>
    <w:rsid w:val="00EB645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455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F5A57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804F9"/>
    <w:rPr>
      <w:rFonts w:ascii="Times New Roman" w:eastAsia="Times New Roman" w:hAnsi="Times New Roman" w:cs="Times New Roman"/>
      <w:b/>
      <w:bCs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455"/>
    <w:pPr>
      <w:bidi/>
    </w:pPr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Char">
    <w:name w:val="脚注文本 Char"/>
    <w:basedOn w:val="a0"/>
    <w:link w:val="a3"/>
    <w:semiHidden/>
    <w:rsid w:val="00EB6455"/>
    <w:rPr>
      <w:rFonts w:ascii="Times New Roman" w:eastAsia="宋体" w:hAnsi="Times New Roman" w:cs="Times New Roman"/>
      <w:kern w:val="0"/>
      <w:sz w:val="20"/>
      <w:szCs w:val="20"/>
      <w:lang w:eastAsia="ar-SA"/>
    </w:rPr>
  </w:style>
  <w:style w:type="character" w:styleId="a4">
    <w:name w:val="footnote reference"/>
    <w:basedOn w:val="a0"/>
    <w:semiHidden/>
    <w:rsid w:val="00EB6455"/>
    <w:rPr>
      <w:rFonts w:ascii="Times New Roman" w:hAnsi="Times New Roman" w:cs="Times New Roman"/>
      <w:vertAlign w:val="superscript"/>
    </w:rPr>
  </w:style>
  <w:style w:type="paragraph" w:styleId="a5">
    <w:name w:val="footer"/>
    <w:aliases w:val="Footer"/>
    <w:basedOn w:val="a"/>
    <w:link w:val="Char0"/>
    <w:rsid w:val="00EB6455"/>
    <w:pPr>
      <w:tabs>
        <w:tab w:val="center" w:pos="4153"/>
        <w:tab w:val="right" w:pos="8306"/>
      </w:tabs>
    </w:pPr>
  </w:style>
  <w:style w:type="character" w:customStyle="1" w:styleId="Char0">
    <w:name w:val="页脚 Char"/>
    <w:aliases w:val="Footer Char"/>
    <w:basedOn w:val="a0"/>
    <w:link w:val="a5"/>
    <w:rsid w:val="00EB6455"/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styleId="a6">
    <w:name w:val="page number"/>
    <w:basedOn w:val="a0"/>
    <w:rsid w:val="00EB6455"/>
  </w:style>
  <w:style w:type="paragraph" w:styleId="a7">
    <w:name w:val="Balloon Text"/>
    <w:basedOn w:val="a"/>
    <w:link w:val="Char1"/>
    <w:uiPriority w:val="99"/>
    <w:semiHidden/>
    <w:unhideWhenUsed/>
    <w:rsid w:val="00EB645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B6455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  <w:style w:type="paragraph" w:styleId="a8">
    <w:name w:val="header"/>
    <w:basedOn w:val="a"/>
    <w:link w:val="Char2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DF5A57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apomosap\My%20Documents\My%20Pictures\logo_islamhouse.ti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slamhouse.com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1681</Words>
  <Characters>1750</Characters>
  <Application>Microsoft Office Word</Application>
  <DocSecurity>0</DocSecurity>
  <Lines>97</Lines>
  <Paragraphs>51</Paragraphs>
  <ScaleCrop>false</ScaleCrop>
  <Manager/>
  <Company>islamhouse.com</Company>
  <LinksUpToDate>false</LinksUpToDate>
  <CharactersWithSpaces>3380</CharactersWithSpaces>
  <SharedDoc>false</SharedDoc>
  <HyperlinkBase>www.islamhouse.com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先知（愿主福安之）在节日拜中的指导_x000d_</dc:title>
  <dc:subject>先知（愿主福安之）在节日拜中的指导_x000d_</dc:subject>
  <dc:creator>伊斯兰问答网站_x000d_</dc:creator>
  <cp:keywords>先知（愿主福安之）在节日拜中的指导_x000d_</cp:keywords>
  <dc:description>先知（愿主福安之）在节日拜中的指导_x000d_</dc:description>
  <cp:lastModifiedBy>Al-Hashemy</cp:lastModifiedBy>
  <cp:revision>3</cp:revision>
  <dcterms:created xsi:type="dcterms:W3CDTF">2014-12-18T14:06:00Z</dcterms:created>
  <dcterms:modified xsi:type="dcterms:W3CDTF">2014-12-28T17:41:00Z</dcterms:modified>
  <cp:category/>
</cp:coreProperties>
</file>