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43B2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650E8" w:rsidRDefault="00F650E8" w:rsidP="00274430">
      <w:pPr>
        <w:bidi w:val="0"/>
        <w:spacing w:beforeLines="50"/>
        <w:jc w:val="center"/>
        <w:rPr>
          <w:rFonts w:ascii="SimSun" w:hAnsi="SimSun" w:cs="SimSun"/>
          <w:color w:val="1F497D" w:themeColor="text2"/>
          <w:sz w:val="48"/>
          <w:szCs w:val="48"/>
          <w:lang w:eastAsia="zh-CN"/>
        </w:rPr>
      </w:pPr>
      <w:r w:rsidRPr="00F650E8">
        <w:rPr>
          <w:rFonts w:ascii="SimSun" w:hAnsi="SimSun" w:cs="SimSun" w:hint="eastAsia"/>
          <w:color w:val="1F497D" w:themeColor="text2"/>
          <w:sz w:val="48"/>
          <w:szCs w:val="48"/>
          <w:lang w:eastAsia="zh-CN"/>
        </w:rPr>
        <w:t>论归于艾布·哈尼法（愿主怜悯之）的著作《大学》</w:t>
      </w:r>
    </w:p>
    <w:p w:rsidR="00EB6455" w:rsidRDefault="00EB6455" w:rsidP="00F650E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650E8" w:rsidRPr="00F650E8" w:rsidRDefault="00F650E8" w:rsidP="00F650E8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F650E8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كتاب الفقه الأكبر المنسوب لأبي حنيفة رحمه الله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2751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2751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F650E8" w:rsidRDefault="00A60587" w:rsidP="00F650E8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auto"/>
          <w:sz w:val="36"/>
          <w:lang w:eastAsia="zh-CN"/>
        </w:rPr>
      </w:pPr>
    </w:p>
    <w:p w:rsidR="00F650E8" w:rsidRPr="00F650E8" w:rsidRDefault="00F650E8" w:rsidP="00F650E8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F650E8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论归于艾布</w:t>
      </w:r>
      <w:r w:rsidRPr="00F650E8">
        <w:rPr>
          <w:rFonts w:asciiTheme="minorEastAsia" w:eastAsiaTheme="minorEastAsia" w:hAnsiTheme="minorEastAsia" w:cs="Times New Roman"/>
          <w:b/>
          <w:bCs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哈尼法（愿主怜悯之）的著作《大学</w:t>
      </w:r>
      <w:r w:rsidRPr="00F650E8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》</w:t>
      </w:r>
    </w:p>
    <w:p w:rsidR="00F650E8" w:rsidRPr="00F650E8" w:rsidRDefault="00F650E8" w:rsidP="00F650E8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F650E8" w:rsidRDefault="00F650E8" w:rsidP="00F650E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F650E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我在这几天开始学习艾布</w:t>
      </w:r>
      <w:r w:rsidRPr="00F650E8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哈尼法（愿主怜悯之）</w:t>
      </w:r>
    </w:p>
    <w:p w:rsidR="00F650E8" w:rsidRDefault="00F650E8" w:rsidP="00F650E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650E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的著作《大学》（费格海</w:t>
      </w:r>
      <w:r w:rsidRPr="00F650E8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艾克拜尔）当中的认</w:t>
      </w:r>
    </w:p>
    <w:p w:rsidR="00F650E8" w:rsidRDefault="00F650E8" w:rsidP="00F650E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650E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主学。把这一著作归于艾布</w:t>
      </w:r>
      <w:r w:rsidRPr="00F650E8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哈尼法（愿主怜悯</w:t>
      </w:r>
    </w:p>
    <w:p w:rsidR="00F650E8" w:rsidRDefault="00F650E8" w:rsidP="00F650E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650E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之）的正确性如何？这一著作在</w:t>
      </w:r>
      <w:r w:rsidRPr="00F650E8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F650E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赛莱夫</w:t>
      </w:r>
      <w:r w:rsidRPr="00F650E8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F650E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的地</w:t>
      </w:r>
    </w:p>
    <w:p w:rsidR="00F650E8" w:rsidRPr="00F650E8" w:rsidRDefault="00F650E8" w:rsidP="00F650E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F650E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位怎么样？他们对这一著作有评论吗</w:t>
      </w:r>
      <w:r w:rsidRPr="00F650E8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F650E8" w:rsidRPr="00F650E8" w:rsidRDefault="00F650E8" w:rsidP="00F650E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F650E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650E8" w:rsidRPr="00F650E8" w:rsidRDefault="00F650E8" w:rsidP="00F650E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第一</w:t>
      </w:r>
      <w:r w:rsidRPr="00F650E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归于伊玛目艾布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哈尼法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努尔曼（愿主怜悯之）的著作《大学》（费格海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艾克拜尔），是来自哈马德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艾布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哈尼法、或者艾布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穆推尔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哈科姆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阿卜杜拉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白利赫的传述的，这两个传述都不是真正的传自艾布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哈尼法（愿主怜悯之），其中包含着与逊尼派相反的一些教义问题，阿布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杜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阿齐兹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艾哈迈德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哈米迪博士在他的著作中阐明：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四位伊玛目与教义学家的异端问题毫无关系。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（第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46 -71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页）；但是这一著作在哈乃斐学派非常著名，被大多数学者认可，尤其是很好的肯定了真主的一部分属性，比如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崇高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；所以伊本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古达麦、伊本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泰米叶、伊本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甘伊姆和宰海比等权威学者（愿主怜悯他们）引证这一著作</w:t>
      </w:r>
      <w:r w:rsidRPr="00F650E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650E8" w:rsidRPr="00F650E8" w:rsidRDefault="00F650E8" w:rsidP="00F650E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穆罕默德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阿卜杜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拉赫曼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赫米斯博士在他的著作《艾布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哈尼法的两部著作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初学和大学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之简明注释》中对《大学》做了注解，你应该阅读一下，就能够了解原则当中的正确和错误；你也可以阅读真正属于先贤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赛莱夫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的一些著作，其中的内容都是健康无误的，比如萨布尼所著的《圣训派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赛莱夫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的信仰》，伊本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哈兹姆所著的《认主学》，伊本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蒙岱所著的《认主学》，阿吉尔所著的《教法》，塔巴里所著的《逊尼派信仰之解释》，伊本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古达麦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所著的《肯定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崇高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的属性》，宰海比所著的《崇高》，伊斯兰的谢赫伊本</w:t>
      </w:r>
      <w:r w:rsidRPr="00F650E8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650E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泰米叶所著的《瓦西特信仰》等，一切赞颂，全归真主，这些著作到处都有，随处可见</w:t>
      </w:r>
      <w:r w:rsidRPr="00F650E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650E8" w:rsidRPr="00F650E8" w:rsidRDefault="00F650E8" w:rsidP="00F650E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proofErr w:type="spellStart"/>
      <w:r w:rsidRPr="00F650E8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F650E8">
        <w:rPr>
          <w:rFonts w:asciiTheme="minorEastAsia" w:eastAsiaTheme="minorEastAsia" w:hAnsiTheme="minorEastAsia" w:cs="Microsoft YaHei"/>
          <w:color w:val="auto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E0" w:rsidRDefault="003D30E0" w:rsidP="00EB6455">
      <w:r>
        <w:separator/>
      </w:r>
    </w:p>
  </w:endnote>
  <w:endnote w:type="continuationSeparator" w:id="0">
    <w:p w:rsidR="003D30E0" w:rsidRDefault="003D30E0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43B2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D30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43B2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2751E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3D30E0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E0" w:rsidRDefault="003D30E0" w:rsidP="00EB6455">
      <w:r>
        <w:separator/>
      </w:r>
    </w:p>
  </w:footnote>
  <w:footnote w:type="continuationSeparator" w:id="0">
    <w:p w:rsidR="003D30E0" w:rsidRDefault="003D30E0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2751E"/>
    <w:rsid w:val="002350D4"/>
    <w:rsid w:val="00274430"/>
    <w:rsid w:val="002804F9"/>
    <w:rsid w:val="002A30C7"/>
    <w:rsid w:val="0031151D"/>
    <w:rsid w:val="00352158"/>
    <w:rsid w:val="003B55D3"/>
    <w:rsid w:val="003D30E0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53D07"/>
    <w:rsid w:val="00D860D2"/>
    <w:rsid w:val="00DA6A6A"/>
    <w:rsid w:val="00DB44B1"/>
    <w:rsid w:val="00DC4991"/>
    <w:rsid w:val="00DC54D7"/>
    <w:rsid w:val="00DF5A57"/>
    <w:rsid w:val="00E13455"/>
    <w:rsid w:val="00EB6455"/>
    <w:rsid w:val="00EE484A"/>
    <w:rsid w:val="00F43B21"/>
    <w:rsid w:val="00F650E8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482</Words>
  <Characters>565</Characters>
  <Application>Microsoft Office Word</Application>
  <DocSecurity>0</DocSecurity>
  <Lines>40</Lines>
  <Paragraphs>24</Paragraphs>
  <ScaleCrop>false</ScaleCrop>
  <Manager/>
  <Company>islamhouse.com</Company>
  <LinksUpToDate>false</LinksUpToDate>
  <CharactersWithSpaces>1023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论归于艾布·哈尼法（愿主怜悯之）的著作《大学》_x000d_</dc:title>
  <dc:subject>论归于艾布·哈尼法（愿主怜悯之）的著作《大学》_x000d_</dc:subject>
  <dc:creator>伊斯兰问答网站_x000d_</dc:creator>
  <cp:keywords>论归于艾布·哈尼法（愿主怜悯之）的著作《大学》_x000d_</cp:keywords>
  <dc:description>论归于艾布·哈尼法（愿主怜悯之）的著作《大学》_x000d_</dc:description>
  <cp:lastModifiedBy>Al-Hashemy</cp:lastModifiedBy>
  <cp:revision>3</cp:revision>
  <dcterms:created xsi:type="dcterms:W3CDTF">2014-11-06T22:47:00Z</dcterms:created>
  <dcterms:modified xsi:type="dcterms:W3CDTF">2014-11-17T16:18:00Z</dcterms:modified>
  <cp:category/>
</cp:coreProperties>
</file>