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B65081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73025" w:rsidRDefault="00E73025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E73025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在没有小净的情况下触摸《古兰经》发誓的教法律例是什么？</w:t>
      </w:r>
    </w:p>
    <w:p w:rsidR="00EB6455" w:rsidRDefault="00EB6455" w:rsidP="00E73025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E73025" w:rsidRPr="00E73025" w:rsidRDefault="00E73025" w:rsidP="00E73025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E73025">
        <w:rPr>
          <w:rFonts w:ascii="inherit" w:hAnsi="inherit"/>
          <w:color w:val="1F497D" w:themeColor="text2"/>
          <w:sz w:val="48"/>
          <w:szCs w:val="48"/>
          <w:rtl/>
        </w:rPr>
        <w:t>ما الحكم فيمن حلف على المصحف ، وهو على غير طهارة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73025">
      <w:pPr>
        <w:bidi w:val="0"/>
        <w:spacing w:line="240" w:lineRule="exact"/>
        <w:rPr>
          <w:rFonts w:ascii="STXingkai" w:eastAsia="STXingkai" w:hAnsi="TR Bahamas Light"/>
          <w:b/>
          <w:bCs/>
          <w:color w:val="800000"/>
          <w:sz w:val="48"/>
          <w:szCs w:val="48"/>
          <w:lang w:val="tr-TR" w:eastAsia="zh-CN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209B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1209B2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1209B2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E73025" w:rsidRPr="00E73025" w:rsidRDefault="00E73025" w:rsidP="00E73025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sz w:val="36"/>
          <w:szCs w:val="36"/>
        </w:rPr>
      </w:pPr>
      <w:r w:rsidRPr="00E73025">
        <w:rPr>
          <w:rFonts w:asciiTheme="minorEastAsia" w:eastAsiaTheme="minorEastAsia" w:hAnsiTheme="minorEastAsia" w:cs="SimSun" w:hint="eastAsia"/>
          <w:sz w:val="36"/>
          <w:szCs w:val="36"/>
        </w:rPr>
        <w:t>在没有小净的情况下触摸《古兰经》发誓的教法律例是什么？</w:t>
      </w:r>
    </w:p>
    <w:p w:rsidR="00E73025" w:rsidRPr="00E73025" w:rsidRDefault="00E73025" w:rsidP="00E73025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E73025" w:rsidRDefault="00E73025" w:rsidP="00E73025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E7302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把手放在《古兰经》的上面发誓三次，这种做法</w:t>
      </w:r>
    </w:p>
    <w:p w:rsidR="00E73025" w:rsidRPr="00E73025" w:rsidRDefault="00E73025" w:rsidP="00E73025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 </w:t>
      </w:r>
      <w:r w:rsidRPr="00E7302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是正确的吗？或者是不接受的？</w:t>
      </w:r>
      <w:r w:rsidRPr="00E73025">
        <w:rPr>
          <w:rStyle w:val="apple-converted-space"/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 </w:t>
      </w:r>
      <w:r w:rsidRPr="00E73025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br/>
      </w: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 </w:t>
      </w:r>
      <w:r w:rsidRPr="00E7302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须知我当时是被强迫的，我也没有小净。</w:t>
      </w:r>
    </w:p>
    <w:p w:rsidR="00E73025" w:rsidRPr="00E73025" w:rsidRDefault="00E73025" w:rsidP="00E7302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>答：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一切赞颂，全归真主。</w:t>
      </w:r>
    </w:p>
    <w:p w:rsidR="00E73025" w:rsidRPr="00E73025" w:rsidRDefault="00E73025" w:rsidP="00E7302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第一：发誓的时候不需要把手放在《古兰经》的上面，也不需要发誓三次，如果没有把手放在《古兰经》的上面，以真主的名义发誓一次，这就够了，他的誓言是正确的。</w:t>
      </w:r>
    </w:p>
    <w:p w:rsidR="00E73025" w:rsidRPr="00E73025" w:rsidRDefault="00E73025" w:rsidP="00E7302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伊本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古达麦（愿主怜悯他）说：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伊本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孟泽尔说：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我们没有发现任何人要求拿着《古兰经》发誓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’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。伊玛目沙菲尔说：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我看到他们用《古兰经》强调誓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言，我看到萨那的法官伊本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马兹尼拿着《古兰经》强调严重的誓言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’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。他的同伴说：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他在严重的誓言中拿来《古兰经》，因为它包含了真主的话和尊名。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’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这是在真主的使者（愿主福安之）命令的发誓、以及正统哈里发和他们的法官的做法中增加的行为，但是没有任何证据或者可靠的论据，不能因为马兹尼等人的做法而放弃真主的使者（愿主福安之）和圣门弟子的圣行。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《穆额尼》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(10 / 214)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。</w:t>
      </w:r>
    </w:p>
    <w:p w:rsidR="00E73025" w:rsidRPr="00E73025" w:rsidRDefault="00E73025" w:rsidP="00E7302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sz w:val="36"/>
          <w:szCs w:val="36"/>
        </w:rPr>
        <w:t xml:space="preserve">  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 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在《学术研究和法拉利常任委员会法特瓦》（第一集）（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23 / 48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）中说：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在许多诉讼案件中，发誓的人把他的手放在《古兰经》的上面发誓，这种做法是正确的吗？或者只以真主的名义发誓，说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以真主发誓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就可以了？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E73025" w:rsidRPr="00E73025" w:rsidRDefault="00E73025" w:rsidP="00E7302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回答：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只以真主的名义发誓就可以了，不必把手放在《古兰经》的上面。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E73025" w:rsidRPr="00E73025" w:rsidRDefault="00E73025" w:rsidP="00E7302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 xml:space="preserve">    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谢赫伊本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欧塞米尼（愿主怜悯之）说：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““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赫勒夫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就是发誓和盟誓，只能使用真主的尊名和他的属性发誓，如果以真主发誓，就不必拿来《古兰经》，把手放在上面发誓；因为把手放在《古兰经》的上面发誓不是清廉的先贤的做法，在先知（愿主福安之）的时代和圣门弟子的时代没有这样做过，甚至在《古兰经》成册之后，穆斯林也没有拿着《古兰经》发誓，他们只以真主发誓，没有拿着《古兰经》。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谢赫伊本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欧塞米尼所著的（道路之光法特瓦）。</w:t>
      </w:r>
    </w:p>
    <w:p w:rsidR="00E73025" w:rsidRPr="00E73025" w:rsidRDefault="00E73025" w:rsidP="00E7302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敬请参阅（</w:t>
      </w:r>
      <w:hyperlink r:id="rId10" w:history="1">
        <w:r w:rsidRPr="00E73025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98194</w:t>
        </w:r>
      </w:hyperlink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）号问题的回答。</w:t>
      </w:r>
    </w:p>
    <w:p w:rsidR="00E73025" w:rsidRPr="00E73025" w:rsidRDefault="00E73025" w:rsidP="00E7302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第二：如果要求这样做，可以把手放在《古兰经》的上面发誓。</w:t>
      </w:r>
    </w:p>
    <w:p w:rsidR="00E73025" w:rsidRPr="00E73025" w:rsidRDefault="00E73025" w:rsidP="00E7302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在《伊斯兰教法学会的决议》中说：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发誓的人把他的手放在《古兰经》的上面发誓，并不一定说明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他的誓言是正确的；如果法官为了强调誓言，让发誓的不要撒谎，让他拿着《古兰经》发誓，也是可以的。</w:t>
      </w:r>
      <w:r w:rsidRPr="00E73025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E73025" w:rsidRPr="00E73025" w:rsidRDefault="00E73025" w:rsidP="00E7302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但是，在发誓的时候触摸《古兰经》的人，必须要有小净。</w:t>
      </w:r>
    </w:p>
    <w:p w:rsidR="00E73025" w:rsidRPr="00E73025" w:rsidRDefault="00E73025" w:rsidP="00E7302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如果发誓的人站在《古兰经》面前，指着《古兰经》发誓，他没有接触《古兰经》，这是可以的，在这种情况下没有小净也可以。</w:t>
      </w:r>
    </w:p>
    <w:p w:rsidR="00E73025" w:rsidRPr="00E73025" w:rsidRDefault="00E73025" w:rsidP="00E7302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在迫切需要、或者情况紧急、或者被迫而为、或者担心别人的歹猜、或者恶言的时候，通过放置《古兰经》的架子或者携带《古兰经》的袋子拿来《古兰经》，我们认为这是可以的。</w:t>
      </w:r>
    </w:p>
    <w:p w:rsidR="00E73025" w:rsidRPr="00E73025" w:rsidRDefault="00E73025" w:rsidP="00E7302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E73025">
        <w:rPr>
          <w:rFonts w:asciiTheme="minorEastAsia" w:eastAsiaTheme="minorEastAsia" w:hAnsiTheme="minorEastAsia" w:cs="Microsoft YaHei" w:hint="eastAsia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B4" w:rsidRDefault="00E340B4" w:rsidP="00EB6455">
      <w:r>
        <w:separator/>
      </w:r>
    </w:p>
  </w:endnote>
  <w:endnote w:type="continuationSeparator" w:id="0">
    <w:p w:rsidR="00E340B4" w:rsidRDefault="00E340B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B6508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340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B65081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1209B2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E340B4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B4" w:rsidRDefault="00E340B4" w:rsidP="00EB6455">
      <w:r>
        <w:separator/>
      </w:r>
    </w:p>
  </w:footnote>
  <w:footnote w:type="continuationSeparator" w:id="0">
    <w:p w:rsidR="00E340B4" w:rsidRDefault="00E340B4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1581E"/>
    <w:rsid w:val="001209B2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63680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65081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340B4"/>
    <w:rsid w:val="00E7302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302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3025"/>
  </w:style>
  <w:style w:type="paragraph" w:customStyle="1" w:styleId="list-group-item-text">
    <w:name w:val="list-group-item-text"/>
    <w:basedOn w:val="Normal"/>
    <w:rsid w:val="00E73025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73025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9819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702</Words>
  <Characters>788</Characters>
  <Application>Microsoft Office Word</Application>
  <DocSecurity>0</DocSecurity>
  <Lines>52</Lines>
  <Paragraphs>32</Paragraphs>
  <ScaleCrop>false</ScaleCrop>
  <Manager/>
  <Company>islamhouse.com</Company>
  <LinksUpToDate>false</LinksUpToDate>
  <CharactersWithSpaces>1458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在没有小净的情况下触摸《古兰经》发誓的教法律例是什么</dc:title>
  <dc:subject>在没有小净的情况下触摸《古兰经》发誓的教法律例是什么</dc:subject>
  <dc:creator>伊斯兰问答网站_x000d_</dc:creator>
  <cp:keywords>在没有小净的情况下触摸《古兰经》发誓的教法律例是什么</cp:keywords>
  <dc:description>在没有小净的情况下触摸《古兰经》发誓的教法律例是什么</dc:description>
  <cp:lastModifiedBy>elhashemy</cp:lastModifiedBy>
  <cp:revision>3</cp:revision>
  <dcterms:created xsi:type="dcterms:W3CDTF">2015-01-30T13:52:00Z</dcterms:created>
  <dcterms:modified xsi:type="dcterms:W3CDTF">2015-02-10T12:04:00Z</dcterms:modified>
  <cp:category/>
</cp:coreProperties>
</file>